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619FEC" w14:textId="77777777" w:rsidR="00B25C34" w:rsidRDefault="00AE7295" w:rsidP="00AE7295">
      <w:pPr>
        <w:jc w:val="center"/>
        <w:rPr>
          <w:rFonts w:ascii="Calibri" w:hAnsi="Calibri" w:cs="Calibri"/>
          <w:b/>
          <w:bCs/>
          <w:sz w:val="28"/>
          <w:szCs w:val="28"/>
        </w:rPr>
      </w:pPr>
      <w:r w:rsidRPr="00AE7295">
        <w:rPr>
          <w:rFonts w:ascii="Calibri" w:hAnsi="Calibri" w:cs="Calibri"/>
          <w:b/>
          <w:bCs/>
          <w:sz w:val="28"/>
          <w:szCs w:val="28"/>
        </w:rPr>
        <w:t>Technické požadavky na návrh a provedení svítidel</w:t>
      </w:r>
    </w:p>
    <w:p w14:paraId="4E40ECDC" w14:textId="77777777" w:rsidR="00AE7295" w:rsidRDefault="00AE7295" w:rsidP="00AE7295">
      <w:pPr>
        <w:jc w:val="center"/>
        <w:rPr>
          <w:rFonts w:ascii="Calibri" w:hAnsi="Calibri" w:cs="Calibri"/>
          <w:sz w:val="28"/>
          <w:szCs w:val="28"/>
        </w:rPr>
      </w:pPr>
    </w:p>
    <w:p w14:paraId="41FD9C70" w14:textId="77777777" w:rsidR="00A63048" w:rsidRDefault="00A63048" w:rsidP="00A63048">
      <w:pPr>
        <w:jc w:val="center"/>
        <w:rPr>
          <w:rFonts w:cs="Arial"/>
          <w:b/>
          <w:caps/>
          <w:color w:val="0033CC"/>
          <w:sz w:val="30"/>
        </w:rPr>
      </w:pPr>
      <w:r w:rsidRPr="00845D57">
        <w:rPr>
          <w:rFonts w:cs="Arial"/>
          <w:b/>
          <w:caps/>
          <w:color w:val="0033CC"/>
          <w:sz w:val="30"/>
        </w:rPr>
        <w:t>„ENERGETICKÉ ÚSPORY VEŘEJNÉHO OSVĚTLENÍ RADOMYŠL“</w:t>
      </w:r>
    </w:p>
    <w:p w14:paraId="30D0A35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libri,Bold" w:hAnsi="Calibri,Bold" w:cs="Calibri,Bold"/>
          <w:b/>
          <w:bCs/>
          <w:color w:val="4F83BE"/>
          <w:sz w:val="26"/>
          <w:szCs w:val="26"/>
        </w:rPr>
        <w:t xml:space="preserve">1. </w:t>
      </w: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Úvod</w:t>
      </w:r>
    </w:p>
    <w:p w14:paraId="3B7D863C" w14:textId="217AABC9" w:rsidR="00692924" w:rsidRDefault="00692924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692924">
        <w:rPr>
          <w:rFonts w:ascii="Calibri" w:hAnsi="Calibri" w:cs="Calibri"/>
          <w:color w:val="000000"/>
        </w:rPr>
        <w:t xml:space="preserve">Technické požadavky na parametry svítidel jsou nastaveny tak, aby investor získal kvalitní osvětlovací soustavu s dlouhou životností a minimálními provozními náklady – to znamená s minimálními náklady na údržbu a minimalizovanými náklady na spotřebu elektrické energie. Z toho vychází níže uvedené požadované parametry svítidel. Návrh vychází z potřeb zadavatele a je limitován energetickým posudkem a podmínkami dotační výzvy </w:t>
      </w:r>
      <w:r w:rsidR="00F42323" w:rsidRPr="00F42323">
        <w:rPr>
          <w:rFonts w:ascii="Calibri" w:hAnsi="Calibri" w:cs="Calibri"/>
          <w:color w:val="000000"/>
        </w:rPr>
        <w:t xml:space="preserve">MODF – </w:t>
      </w:r>
      <w:proofErr w:type="spellStart"/>
      <w:r w:rsidR="00F42323" w:rsidRPr="00F42323">
        <w:rPr>
          <w:rFonts w:ascii="Calibri" w:hAnsi="Calibri" w:cs="Calibri"/>
          <w:color w:val="000000"/>
        </w:rPr>
        <w:t>Smartnet</w:t>
      </w:r>
      <w:proofErr w:type="spellEnd"/>
      <w:r w:rsidR="00F42323" w:rsidRPr="00F42323">
        <w:rPr>
          <w:rFonts w:ascii="Calibri" w:hAnsi="Calibri" w:cs="Calibri"/>
          <w:color w:val="000000"/>
        </w:rPr>
        <w:t xml:space="preserve"> č.1/2025, program 6A Modernizace veřejných energetických soustav</w:t>
      </w:r>
      <w:r w:rsidRPr="00F42323">
        <w:rPr>
          <w:rFonts w:ascii="Calibri" w:hAnsi="Calibri" w:cs="Calibri"/>
          <w:color w:val="000000"/>
        </w:rPr>
        <w:t>. Veškeré</w:t>
      </w:r>
      <w:r w:rsidRPr="00692924">
        <w:rPr>
          <w:rFonts w:ascii="Calibri" w:hAnsi="Calibri" w:cs="Calibri"/>
          <w:color w:val="000000"/>
        </w:rPr>
        <w:t xml:space="preserve"> níže popsané technické parametry musí být splněny v alespoň minimálních uvedených hodnotách.</w:t>
      </w:r>
    </w:p>
    <w:p w14:paraId="0AAE7913" w14:textId="77777777" w:rsidR="00692924" w:rsidRDefault="00692924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F18112F" w14:textId="6267729E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Tuto přílohu musí každý účastník řádně pročíst a veškeré níže napsané parametry splnit v alespoň</w:t>
      </w:r>
    </w:p>
    <w:p w14:paraId="69580F3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minimálních hodnotách dle ČSN EN; v případě údajů uvedených v přiložených světelně-technických</w:t>
      </w:r>
    </w:p>
    <w:p w14:paraId="724C945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výpočtech pak minimálně v těchto hodnotách. Přijetí a dodržení těchto podmínek účastník potvrdí</w:t>
      </w:r>
    </w:p>
    <w:p w14:paraId="7EE37B8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svým podpisem. Technické požadavky na parametry svítidel jsou nastaveny tak, aby investor získal</w:t>
      </w:r>
    </w:p>
    <w:p w14:paraId="78071DF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kvalitní osvětlovací soustavu s dlouhou životností a minimálními provozními náklady – to znamená s</w:t>
      </w:r>
    </w:p>
    <w:p w14:paraId="4414AB6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minimálními náklady na údržbu a minimalizovanými náklady na spotřebu elektrické energie. Z toho</w:t>
      </w:r>
    </w:p>
    <w:p w14:paraId="680043D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vychází níže uvedené požadované parametry svítidel. Pro aplikaci mohou být použita svítidla, která</w:t>
      </w:r>
    </w:p>
    <w:p w14:paraId="6D377C8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mají shodné nebo lepší parametry týkající se příkonu, světelného toku a životnosti dle této přílohy</w:t>
      </w:r>
    </w:p>
    <w:p w14:paraId="04B01BD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zadávací dokumentace. Ostatní parametry musí být dodrženy. Požadované pouliční svítidlo s LED musí</w:t>
      </w:r>
    </w:p>
    <w:p w14:paraId="7328926B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splňovat požadavky na design, světelný výkon, příkon, optickou účinnost, chlazení a další materiálové</w:t>
      </w:r>
    </w:p>
    <w:p w14:paraId="7685FD1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požadavky. Celkový design svítidla podléhá schválení investora. Svítidlo musí být originálně zamýšleno</w:t>
      </w:r>
    </w:p>
    <w:p w14:paraId="0D4C579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pouze se světelnými zdroji LED. Nesmí se jednat o tzv. </w:t>
      </w:r>
      <w:proofErr w:type="spellStart"/>
      <w:r>
        <w:rPr>
          <w:rFonts w:ascii="Calibri" w:hAnsi="Calibri" w:cs="Calibri"/>
          <w:color w:val="000000"/>
        </w:rPr>
        <w:t>retrofit</w:t>
      </w:r>
      <w:proofErr w:type="spellEnd"/>
      <w:r>
        <w:rPr>
          <w:rFonts w:ascii="Calibri" w:hAnsi="Calibri" w:cs="Calibri"/>
          <w:color w:val="000000"/>
        </w:rPr>
        <w:t>, jinými slovy svítidlo, které lze osadit jak</w:t>
      </w:r>
    </w:p>
    <w:p w14:paraId="44CA1BA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konvenčními zdroji, tak zdroji LED. Svítidlo musí být chlazeno pouze pasivně, nikoliv aktivně za použití</w:t>
      </w:r>
    </w:p>
    <w:p w14:paraId="18935B3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ventilátorů nebo podobných zařízení.</w:t>
      </w:r>
    </w:p>
    <w:p w14:paraId="681F116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3F6C506" w14:textId="4CD03484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libri,Bold" w:hAnsi="Calibri,Bold" w:cs="Calibri,Bold"/>
          <w:b/>
          <w:bCs/>
          <w:color w:val="4F83BE"/>
        </w:rPr>
        <w:t xml:space="preserve">2. </w:t>
      </w: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Korpus a konstrukční prvky</w:t>
      </w:r>
    </w:p>
    <w:p w14:paraId="5CF173B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2.1. Požadavky na provedení silničního </w:t>
      </w:r>
      <w:proofErr w:type="gramStart"/>
      <w:r>
        <w:rPr>
          <w:rFonts w:ascii="Calibri" w:hAnsi="Calibri" w:cs="Calibri"/>
          <w:color w:val="000000"/>
        </w:rPr>
        <w:t>svítidla - Korpus</w:t>
      </w:r>
      <w:proofErr w:type="gramEnd"/>
    </w:p>
    <w:p w14:paraId="35F0E2C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 architektonických důvodů podléhá design svítidla schválení zadavatelem. Celý korpus svítidla musí</w:t>
      </w:r>
    </w:p>
    <w:p w14:paraId="75381DEA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být vyroben z vysoce tepelně vodivé a korozi odolné certifikované hliníkové slitiny LM6 technologií</w:t>
      </w:r>
    </w:p>
    <w:p w14:paraId="04E09A5D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vysokotlakého lití, kde otevření svítidla musí být možné bez použití nářadí pomocí klipu z nerezové</w:t>
      </w:r>
    </w:p>
    <w:p w14:paraId="378E9B1B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oceli opatřeného pojistným mechanismem proti neoprávněnému otevření. Difuzor svítidla musí být</w:t>
      </w:r>
    </w:p>
    <w:p w14:paraId="74E132EC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vyroben z tvrzeného skla plochého tvaru a musí být k rámu svítidla přichycen přes silikonové těsnění.</w:t>
      </w:r>
    </w:p>
    <w:p w14:paraId="7E6B78F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Difuzor svítidla musí být možné v případě potřeby vyměnit. Po ukončení životnosti svítidla musí být</w:t>
      </w:r>
    </w:p>
    <w:p w14:paraId="7C0BEDCC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toto snadno rozebratelné, a tudíž i recyklovatelné. Odvod tepla musí být zajištěn pasivně samočistící</w:t>
      </w:r>
    </w:p>
    <w:p w14:paraId="70AE9E1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plochou na horním krytu svítidla. Svítidlo musí být moderního plochého tvaru pro zajištění</w:t>
      </w:r>
    </w:p>
    <w:p w14:paraId="75F5049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efektivního termo-managementu LED světelných zdrojů. Výměna elektrické části svítidel musí být</w:t>
      </w:r>
    </w:p>
    <w:p w14:paraId="48F439F1" w14:textId="736A1193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možná bez nutnosti použití nářadí.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Svítidlo musí umožňovat zamezení vniku nepovolaných osob,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tzv. </w:t>
      </w:r>
      <w:proofErr w:type="spellStart"/>
      <w:r>
        <w:rPr>
          <w:rFonts w:ascii="Calibri" w:hAnsi="Calibri" w:cs="Calibri"/>
          <w:color w:val="000000"/>
        </w:rPr>
        <w:t>antivandal</w:t>
      </w:r>
      <w:proofErr w:type="spellEnd"/>
      <w:r>
        <w:rPr>
          <w:rFonts w:ascii="Calibri" w:hAnsi="Calibri" w:cs="Calibri"/>
          <w:color w:val="000000"/>
        </w:rPr>
        <w:t xml:space="preserve"> úpravu. Svítidlo musí mít možnost výměny LED modulů. Všechna svítidla musí být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vybavena univerzální přírubou pro osazení svítidla</w:t>
      </w:r>
      <w:r w:rsidR="007817C2">
        <w:rPr>
          <w:rFonts w:ascii="Calibri" w:hAnsi="Calibri" w:cs="Calibri"/>
          <w:color w:val="000000"/>
        </w:rPr>
        <w:t>,</w:t>
      </w:r>
      <w:r>
        <w:rPr>
          <w:rFonts w:ascii="Calibri" w:hAnsi="Calibri" w:cs="Calibri"/>
          <w:color w:val="000000"/>
        </w:rPr>
        <w:t xml:space="preserve"> jak na vrchol stožáru, tak i na výložník při průměru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konce stožáru či výložníku 60 mm bez použití redukčního adaptéru. Pro zajištění dostatečné stability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uchycení svítidla na stožáru nebo výložníku musí být svítidlo k těmto upevněno alespoň dvěma šrouby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z nerezové oceli. Pro umožnění precizního nastavení v souladu se světelně-technickým návrhem musí</w:t>
      </w:r>
      <w:r w:rsidR="00066340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být svítidlo vybaveno prvkem pro horizontální vyklánění:</w:t>
      </w:r>
    </w:p>
    <w:p w14:paraId="4F2F196A" w14:textId="77777777" w:rsidR="00066340" w:rsidRDefault="00066340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C5FACC3" w14:textId="352BF81B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na výložníku v rozsahu -90° až +1</w:t>
      </w:r>
      <w:r w:rsidR="00C81FE4">
        <w:rPr>
          <w:rFonts w:ascii="Calibri" w:hAnsi="Calibri" w:cs="Calibri"/>
          <w:color w:val="000000"/>
        </w:rPr>
        <w:t>5</w:t>
      </w:r>
      <w:r>
        <w:rPr>
          <w:rFonts w:ascii="Calibri" w:hAnsi="Calibri" w:cs="Calibri"/>
          <w:color w:val="000000"/>
        </w:rPr>
        <w:t>°</w:t>
      </w:r>
    </w:p>
    <w:p w14:paraId="5D73A95A" w14:textId="57AED506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na stožáru v rozsahu -</w:t>
      </w:r>
      <w:r w:rsidR="00C81FE4">
        <w:rPr>
          <w:rFonts w:ascii="Calibri" w:hAnsi="Calibri" w:cs="Calibri"/>
          <w:color w:val="000000"/>
        </w:rPr>
        <w:t>15</w:t>
      </w:r>
      <w:r>
        <w:rPr>
          <w:rFonts w:ascii="Calibri" w:hAnsi="Calibri" w:cs="Calibri"/>
          <w:color w:val="000000"/>
        </w:rPr>
        <w:t>°až +</w:t>
      </w:r>
      <w:r w:rsidR="00C81FE4">
        <w:rPr>
          <w:rFonts w:ascii="Calibri" w:hAnsi="Calibri" w:cs="Calibri"/>
          <w:color w:val="000000"/>
        </w:rPr>
        <w:t>15</w:t>
      </w:r>
      <w:r>
        <w:rPr>
          <w:rFonts w:ascii="Calibri" w:hAnsi="Calibri" w:cs="Calibri"/>
          <w:color w:val="000000"/>
        </w:rPr>
        <w:t>°.</w:t>
      </w:r>
    </w:p>
    <w:p w14:paraId="692F2237" w14:textId="50408C6B" w:rsidR="000A09A6" w:rsidRDefault="000A09A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757C90D" w14:textId="6BBED3B9" w:rsidR="000A09A6" w:rsidRDefault="000A09A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0A09A6">
        <w:rPr>
          <w:rFonts w:ascii="Calibri" w:hAnsi="Calibri" w:cs="Calibri"/>
          <w:color w:val="000000"/>
        </w:rPr>
        <w:t>Svítidla musí umožňovat dodatečné osazení mřížkové clony (</w:t>
      </w:r>
      <w:proofErr w:type="spellStart"/>
      <w:r w:rsidRPr="000A09A6">
        <w:rPr>
          <w:rFonts w:ascii="Calibri" w:hAnsi="Calibri" w:cs="Calibri"/>
          <w:color w:val="000000"/>
        </w:rPr>
        <w:t>backlight</w:t>
      </w:r>
      <w:proofErr w:type="spellEnd"/>
      <w:r w:rsidRPr="000A09A6">
        <w:rPr>
          <w:rFonts w:ascii="Calibri" w:hAnsi="Calibri" w:cs="Calibri"/>
          <w:color w:val="000000"/>
        </w:rPr>
        <w:t>) pro omezení svícení směrem za stožár. Tato clona musí být osazována jednoduchým servisním zásahem přímo na optický systém svítidla.</w:t>
      </w:r>
    </w:p>
    <w:p w14:paraId="3934CCD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41C7DFE2" w14:textId="77777777" w:rsidR="00B25C34" w:rsidRDefault="00771242" w:rsidP="00771242">
      <w:pPr>
        <w:rPr>
          <w:rFonts w:ascii="Calibri" w:hAnsi="Calibri" w:cs="Calibri"/>
          <w:sz w:val="28"/>
          <w:szCs w:val="28"/>
        </w:rPr>
      </w:pPr>
      <w:r>
        <w:rPr>
          <w:rFonts w:ascii="Calibri,Bold" w:hAnsi="Calibri,Bold" w:cs="Calibri,Bold"/>
          <w:b/>
          <w:bCs/>
          <w:color w:val="4F83BE"/>
        </w:rPr>
        <w:t xml:space="preserve">3. </w:t>
      </w: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Technické parametry</w:t>
      </w:r>
    </w:p>
    <w:p w14:paraId="2BE4A8E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3.1. Požadavky na technické parametry silničního svítidla:</w:t>
      </w:r>
    </w:p>
    <w:p w14:paraId="7E2FC06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Svítidlo musí být vybaveno speciální skrytou průchodkou pro vyrovnávání tlaků uvnitř a vně svítidla,</w:t>
      </w:r>
    </w:p>
    <w:p w14:paraId="08F4917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zamezující zároveň vniknutí vlhkosti do svítidla. Svítidlo musí zaručovat stupeň ochrany proti vniknutí</w:t>
      </w:r>
    </w:p>
    <w:p w14:paraId="297CA97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cizích pevných těles a vody do optické a </w:t>
      </w:r>
      <w:proofErr w:type="spellStart"/>
      <w:r>
        <w:rPr>
          <w:rFonts w:ascii="Calibri" w:hAnsi="Calibri" w:cs="Calibri"/>
          <w:color w:val="000000"/>
        </w:rPr>
        <w:t>předřadníkové</w:t>
      </w:r>
      <w:proofErr w:type="spellEnd"/>
      <w:r>
        <w:rPr>
          <w:rFonts w:ascii="Calibri" w:hAnsi="Calibri" w:cs="Calibri"/>
          <w:color w:val="000000"/>
        </w:rPr>
        <w:t xml:space="preserve"> části svítidla </w:t>
      </w:r>
      <w:r w:rsidRPr="0022094B">
        <w:rPr>
          <w:rFonts w:ascii="Calibri" w:hAnsi="Calibri" w:cs="Calibri"/>
          <w:b/>
          <w:bCs/>
          <w:color w:val="000000"/>
        </w:rPr>
        <w:t>nejméně IP 66</w:t>
      </w:r>
      <w:r>
        <w:rPr>
          <w:rFonts w:ascii="Calibri" w:hAnsi="Calibri" w:cs="Calibri"/>
          <w:color w:val="000000"/>
        </w:rPr>
        <w:t>. Těsnění svítidla</w:t>
      </w:r>
    </w:p>
    <w:p w14:paraId="2E7D248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nesmí být lepené, ve svítidle musí být umístěno pouze na základě mechanického přítlaku. Optická</w:t>
      </w:r>
    </w:p>
    <w:p w14:paraId="11EF05AB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část musí být zajištěna proti neoprávněnému vstupu nerezovými šrouby se speciálním </w:t>
      </w:r>
      <w:proofErr w:type="spellStart"/>
      <w:r>
        <w:rPr>
          <w:rFonts w:ascii="Calibri" w:hAnsi="Calibri" w:cs="Calibri"/>
          <w:color w:val="000000"/>
        </w:rPr>
        <w:t>antivandal</w:t>
      </w:r>
      <w:proofErr w:type="spellEnd"/>
    </w:p>
    <w:p w14:paraId="19B9348F" w14:textId="4E3F6E20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osazením. Stupeň ochrany svítidla proti škodlivým mechanickým nárazům musí být </w:t>
      </w:r>
      <w:r w:rsidRPr="0022094B">
        <w:rPr>
          <w:rFonts w:ascii="Calibri" w:hAnsi="Calibri" w:cs="Calibri"/>
          <w:b/>
          <w:bCs/>
          <w:color w:val="000000"/>
        </w:rPr>
        <w:t xml:space="preserve">nejméně IK </w:t>
      </w:r>
      <w:r w:rsidR="003B10B9" w:rsidRPr="0022094B">
        <w:rPr>
          <w:rFonts w:ascii="Calibri" w:hAnsi="Calibri" w:cs="Calibri"/>
          <w:b/>
          <w:bCs/>
          <w:color w:val="000000"/>
        </w:rPr>
        <w:t>09</w:t>
      </w:r>
      <w:r>
        <w:rPr>
          <w:rFonts w:ascii="Calibri" w:hAnsi="Calibri" w:cs="Calibri"/>
          <w:color w:val="000000"/>
        </w:rPr>
        <w:t>.</w:t>
      </w:r>
    </w:p>
    <w:p w14:paraId="712217B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Svítidlo musí být schváleno pro běžný provoz v rozmezí teplot okolního prostředí - 40 °C až + 50 °C.</w:t>
      </w:r>
    </w:p>
    <w:p w14:paraId="07399CF9" w14:textId="6A073A7F" w:rsidR="00212AB4" w:rsidRPr="00212AB4" w:rsidRDefault="00212AB4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Svítidlo musí být vybaveno minimálně dvojí teplotní ochranou proti přehřátí </w:t>
      </w:r>
      <w:r>
        <w:rPr>
          <w:rFonts w:ascii="Calibri" w:hAnsi="Calibri" w:cs="Calibri"/>
          <w:color w:val="000000"/>
          <w:lang w:val="en-US"/>
        </w:rPr>
        <w:t>(</w:t>
      </w:r>
      <w:r>
        <w:rPr>
          <w:rFonts w:ascii="Calibri" w:hAnsi="Calibri" w:cs="Calibri"/>
          <w:color w:val="000000"/>
        </w:rPr>
        <w:t>teplotní senzor uvnitř předřadníku + teplotní senzor měřící přímo na desce plošných spojů s LED zdroji</w:t>
      </w:r>
      <w:r>
        <w:rPr>
          <w:rFonts w:ascii="Calibri" w:hAnsi="Calibri" w:cs="Calibri"/>
          <w:color w:val="000000"/>
          <w:lang w:val="en-US"/>
        </w:rPr>
        <w:t>)</w:t>
      </w:r>
      <w:r>
        <w:rPr>
          <w:rFonts w:ascii="Calibri" w:hAnsi="Calibri" w:cs="Calibri"/>
          <w:color w:val="000000"/>
        </w:rPr>
        <w:t>.</w:t>
      </w:r>
    </w:p>
    <w:p w14:paraId="2D2705C5" w14:textId="08493CEF" w:rsidR="00066340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Svítidlo musí být vybaveno přepěťovou ochranou s odolností vůči několikanásobnému přepětí </w:t>
      </w:r>
      <w:r w:rsidRPr="0022094B">
        <w:rPr>
          <w:rFonts w:ascii="Calibri" w:hAnsi="Calibri" w:cs="Calibri"/>
          <w:b/>
          <w:bCs/>
          <w:color w:val="000000"/>
        </w:rPr>
        <w:t xml:space="preserve">6 </w:t>
      </w:r>
      <w:proofErr w:type="spellStart"/>
      <w:r w:rsidRPr="0022094B">
        <w:rPr>
          <w:rFonts w:ascii="Calibri" w:hAnsi="Calibri" w:cs="Calibri"/>
          <w:b/>
          <w:bCs/>
          <w:color w:val="000000"/>
        </w:rPr>
        <w:t>kV</w:t>
      </w:r>
      <w:proofErr w:type="spellEnd"/>
      <w:r>
        <w:rPr>
          <w:rFonts w:ascii="Calibri" w:hAnsi="Calibri" w:cs="Calibri"/>
          <w:color w:val="000000"/>
        </w:rPr>
        <w:t xml:space="preserve"> </w:t>
      </w:r>
      <w:r w:rsidR="008B1BBE">
        <w:rPr>
          <w:rFonts w:ascii="Calibri" w:hAnsi="Calibri" w:cs="Calibri"/>
          <w:color w:val="000000"/>
          <w:lang w:val="en-US"/>
        </w:rPr>
        <w:t>(</w:t>
      </w:r>
      <w:r w:rsidR="008B1BBE">
        <w:rPr>
          <w:rFonts w:ascii="Calibri" w:hAnsi="Calibri" w:cs="Calibri"/>
          <w:color w:val="000000"/>
        </w:rPr>
        <w:t>volitelně také ochranou 10kV nebo 20kV</w:t>
      </w:r>
      <w:r w:rsidR="008B1BBE">
        <w:rPr>
          <w:rFonts w:ascii="Calibri" w:hAnsi="Calibri" w:cs="Calibri"/>
          <w:color w:val="000000"/>
          <w:lang w:val="en-US"/>
        </w:rPr>
        <w:t>)</w:t>
      </w:r>
      <w:r w:rsidR="008B1BBE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</w:t>
      </w:r>
      <w:r w:rsidR="008B1BBE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předpokladem vlny šířící se po síti. </w:t>
      </w:r>
    </w:p>
    <w:p w14:paraId="703DE372" w14:textId="74ADCB56" w:rsidR="00754929" w:rsidRDefault="00773093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773093">
        <w:rPr>
          <w:rFonts w:ascii="Calibri" w:hAnsi="Calibri" w:cs="Calibri"/>
          <w:color w:val="000000"/>
        </w:rPr>
        <w:t xml:space="preserve">Svítidlo </w:t>
      </w:r>
      <w:r>
        <w:rPr>
          <w:rFonts w:ascii="Calibri" w:hAnsi="Calibri" w:cs="Calibri"/>
          <w:color w:val="000000"/>
        </w:rPr>
        <w:t>musí být možné</w:t>
      </w:r>
      <w:r w:rsidRPr="00773093">
        <w:rPr>
          <w:rFonts w:ascii="Calibri" w:hAnsi="Calibri" w:cs="Calibri"/>
          <w:color w:val="000000"/>
        </w:rPr>
        <w:t xml:space="preserve"> vybavit </w:t>
      </w:r>
      <w:proofErr w:type="spellStart"/>
      <w:r w:rsidRPr="00773093">
        <w:rPr>
          <w:rFonts w:ascii="Calibri" w:hAnsi="Calibri" w:cs="Calibri"/>
          <w:color w:val="000000"/>
        </w:rPr>
        <w:t>Z</w:t>
      </w:r>
      <w:r>
        <w:rPr>
          <w:rFonts w:ascii="Calibri" w:hAnsi="Calibri" w:cs="Calibri"/>
          <w:color w:val="000000"/>
        </w:rPr>
        <w:t>haga</w:t>
      </w:r>
      <w:proofErr w:type="spellEnd"/>
      <w:r w:rsidRPr="00773093">
        <w:rPr>
          <w:rFonts w:ascii="Calibri" w:hAnsi="Calibri" w:cs="Calibri"/>
          <w:color w:val="000000"/>
        </w:rPr>
        <w:t xml:space="preserve"> </w:t>
      </w:r>
      <w:proofErr w:type="spellStart"/>
      <w:r w:rsidRPr="00773093">
        <w:rPr>
          <w:rFonts w:ascii="Calibri" w:hAnsi="Calibri" w:cs="Calibri"/>
          <w:color w:val="000000"/>
        </w:rPr>
        <w:t>socketem</w:t>
      </w:r>
      <w:proofErr w:type="spellEnd"/>
      <w:r w:rsidRPr="00773093">
        <w:rPr>
          <w:rFonts w:ascii="Calibri" w:hAnsi="Calibri" w:cs="Calibri"/>
          <w:color w:val="000000"/>
        </w:rPr>
        <w:t xml:space="preserve"> pro připojení inteligentní řídící jednotky ke svítidlu.</w:t>
      </w:r>
    </w:p>
    <w:p w14:paraId="7EE1268E" w14:textId="4BEDD643" w:rsidR="00362F75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Firma ucházející se v rámci veřejné soutěže o dodávku materiálu</w:t>
      </w:r>
      <w:r w:rsidR="0022094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nebo realizaci zakázky jednoznačně uvede v nabídce přesné typy a výrobce svítidel</w:t>
      </w:r>
      <w:r w:rsidR="00677B54">
        <w:rPr>
          <w:rFonts w:ascii="Calibri" w:hAnsi="Calibri" w:cs="Calibri"/>
          <w:color w:val="000000"/>
        </w:rPr>
        <w:t xml:space="preserve"> a doloží k nim katalogové a technické listy.</w:t>
      </w:r>
    </w:p>
    <w:p w14:paraId="36763634" w14:textId="77777777" w:rsidR="00677B54" w:rsidRDefault="00677B54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AFD6C7D" w14:textId="64C5447C" w:rsidR="00771242" w:rsidRPr="0022094B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</w:rPr>
      </w:pPr>
      <w:r w:rsidRPr="0022094B">
        <w:rPr>
          <w:rFonts w:ascii="Calibri" w:hAnsi="Calibri" w:cs="Calibri"/>
          <w:b/>
          <w:bCs/>
          <w:color w:val="000000"/>
        </w:rPr>
        <w:t>Vlastnosti svítidel</w:t>
      </w:r>
      <w:r w:rsidR="0022094B" w:rsidRPr="0022094B">
        <w:rPr>
          <w:rFonts w:ascii="Calibri" w:hAnsi="Calibri" w:cs="Calibri"/>
          <w:b/>
          <w:bCs/>
          <w:color w:val="000000"/>
        </w:rPr>
        <w:t xml:space="preserve"> </w:t>
      </w:r>
      <w:r w:rsidRPr="0022094B">
        <w:rPr>
          <w:rFonts w:ascii="Calibri" w:hAnsi="Calibri" w:cs="Calibri"/>
          <w:b/>
          <w:bCs/>
          <w:color w:val="000000"/>
        </w:rPr>
        <w:t>musí být doloženy certifikovanou zkušebnou, a to mezinárodně uznávaným standardizovaným</w:t>
      </w:r>
      <w:r w:rsidR="0022094B" w:rsidRPr="0022094B">
        <w:rPr>
          <w:rFonts w:ascii="Calibri" w:hAnsi="Calibri" w:cs="Calibri"/>
          <w:b/>
          <w:bCs/>
          <w:color w:val="000000"/>
        </w:rPr>
        <w:t xml:space="preserve"> </w:t>
      </w:r>
      <w:r w:rsidRPr="0022094B">
        <w:rPr>
          <w:rFonts w:ascii="Calibri" w:hAnsi="Calibri" w:cs="Calibri"/>
          <w:b/>
          <w:bCs/>
          <w:color w:val="000000"/>
        </w:rPr>
        <w:t>certifikátem ENEC</w:t>
      </w:r>
      <w:r w:rsidR="003B10B9" w:rsidRPr="0022094B">
        <w:rPr>
          <w:rFonts w:ascii="Calibri" w:hAnsi="Calibri" w:cs="Calibri"/>
          <w:b/>
          <w:bCs/>
          <w:color w:val="000000"/>
        </w:rPr>
        <w:t xml:space="preserve"> a ENEC+</w:t>
      </w:r>
      <w:r w:rsidRPr="0022094B">
        <w:rPr>
          <w:rFonts w:ascii="Calibri" w:hAnsi="Calibri" w:cs="Calibri"/>
          <w:b/>
          <w:bCs/>
          <w:color w:val="000000"/>
        </w:rPr>
        <w:t>.</w:t>
      </w:r>
    </w:p>
    <w:p w14:paraId="6737F45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8A4997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3.2. Požadavek na elektrickou izolaci: Svítidlo musí být ve: třídě I elektrické izolace.</w:t>
      </w:r>
    </w:p>
    <w:p w14:paraId="0DA08CD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63475AA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4. Barevné provedení svítidel</w:t>
      </w:r>
    </w:p>
    <w:p w14:paraId="436CECD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44C6D4D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4.1. Barva korpusu svítidla musí být dle zadání investora nanesena práškovou technologií</w:t>
      </w:r>
    </w:p>
    <w:p w14:paraId="1ED3F7D3" w14:textId="4724557D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 barevném odstínu:</w:t>
      </w:r>
      <w:r w:rsidR="0022094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AKZO NOBEL (přesný odstín bude uveden při podpisu smlouvy)</w:t>
      </w:r>
    </w:p>
    <w:p w14:paraId="44D723FB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0C8C353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5. Regulace</w:t>
      </w:r>
    </w:p>
    <w:p w14:paraId="79E2616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7CC0D31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F260FC">
        <w:rPr>
          <w:rFonts w:ascii="Calibri,Italic" w:hAnsi="Calibri,Italic" w:cs="Calibri,Italic"/>
          <w:color w:val="000000"/>
        </w:rPr>
        <w:t xml:space="preserve">5.1. </w:t>
      </w:r>
      <w:r w:rsidRPr="00F260FC">
        <w:rPr>
          <w:rFonts w:ascii="Calibri" w:hAnsi="Calibri" w:cs="Calibri"/>
          <w:color w:val="000000"/>
        </w:rPr>
        <w:t>Elektronické</w:t>
      </w:r>
      <w:r>
        <w:rPr>
          <w:rFonts w:ascii="Calibri" w:hAnsi="Calibri" w:cs="Calibri"/>
          <w:color w:val="000000"/>
        </w:rPr>
        <w:t xml:space="preserve"> předřadníky svítidel budou autonomně naprogramovány tak, aby svítidlo</w:t>
      </w:r>
    </w:p>
    <w:p w14:paraId="0C6EE54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regulovalo v pozdních nočních hodinách světelný výkon s ohledem na pokles provozu na</w:t>
      </w:r>
    </w:p>
    <w:p w14:paraId="155DEEF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komunikacích, a to z důvodu energetických úspor. Stmívání musí být přehledným a jednoznačným</w:t>
      </w:r>
    </w:p>
    <w:p w14:paraId="4FA55957" w14:textId="77777777" w:rsidR="00771242" w:rsidRDefault="00771242" w:rsidP="00950165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způsobem doloženo časovým schématem této regulace. </w:t>
      </w:r>
    </w:p>
    <w:p w14:paraId="15612FC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4C71CE16" w14:textId="78D3BC0A" w:rsidR="00771242" w:rsidRDefault="00147467" w:rsidP="00771242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</w:rPr>
      </w:pPr>
      <w:r>
        <w:rPr>
          <w:rFonts w:ascii="Calibri,Italic" w:hAnsi="Calibri,Italic" w:cs="Calibri,Italic"/>
          <w:i/>
          <w:iCs/>
          <w:color w:val="000000"/>
        </w:rPr>
        <w:t xml:space="preserve">Požadované nastavení </w:t>
      </w:r>
      <w:r w:rsidR="00950165">
        <w:rPr>
          <w:rFonts w:ascii="Calibri,Italic" w:hAnsi="Calibri,Italic" w:cs="Calibri,Italic"/>
          <w:i/>
          <w:iCs/>
          <w:color w:val="000000"/>
        </w:rPr>
        <w:t>regulace světelného toku svítidel</w:t>
      </w:r>
      <w:r w:rsidR="006D2940">
        <w:rPr>
          <w:rFonts w:ascii="Calibri,Italic" w:hAnsi="Calibri,Italic" w:cs="Calibri,Italic"/>
          <w:b/>
          <w:bCs/>
          <w:i/>
          <w:iCs/>
          <w:color w:val="000000"/>
        </w:rPr>
        <w:t>:</w:t>
      </w:r>
    </w:p>
    <w:p w14:paraId="44FC0D11" w14:textId="57F079B2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  <w:r>
        <w:rPr>
          <w:rFonts w:ascii="Calibri,Bold" w:hAnsi="Calibri,Bold" w:cs="Calibri,Bold"/>
          <w:b/>
          <w:bCs/>
          <w:color w:val="000000"/>
        </w:rPr>
        <w:t>od do % světelného toku</w:t>
      </w:r>
    </w:p>
    <w:p w14:paraId="3F7980F9" w14:textId="77777777" w:rsidR="0022094B" w:rsidRDefault="0022094B" w:rsidP="00771242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  <w:color w:val="000000"/>
        </w:rPr>
      </w:pPr>
    </w:p>
    <w:p w14:paraId="148E0E4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čas </w:t>
      </w:r>
      <w:proofErr w:type="gramStart"/>
      <w:r>
        <w:rPr>
          <w:rFonts w:ascii="Calibri" w:hAnsi="Calibri" w:cs="Calibri"/>
          <w:color w:val="000000"/>
        </w:rPr>
        <w:t xml:space="preserve">zapnutí </w:t>
      </w:r>
      <w:r w:rsidR="00950165">
        <w:rPr>
          <w:rFonts w:ascii="Calibri" w:hAnsi="Calibri" w:cs="Calibri"/>
          <w:color w:val="000000"/>
        </w:rPr>
        <w:t xml:space="preserve"> -</w:t>
      </w:r>
      <w:proofErr w:type="gramEnd"/>
      <w:r w:rsidR="00950165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23:00 100 %</w:t>
      </w:r>
    </w:p>
    <w:p w14:paraId="28C7AAF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 xml:space="preserve">23:00 </w:t>
      </w:r>
      <w:r w:rsidR="00950165">
        <w:rPr>
          <w:rFonts w:ascii="Calibri" w:hAnsi="Calibri" w:cs="Calibri"/>
          <w:color w:val="000000"/>
        </w:rPr>
        <w:t xml:space="preserve"> -</w:t>
      </w:r>
      <w:proofErr w:type="gramEnd"/>
      <w:r w:rsidR="00950165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05:00 60 %</w:t>
      </w:r>
    </w:p>
    <w:p w14:paraId="0EF69D6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5:00 </w:t>
      </w:r>
      <w:r w:rsidR="00950165">
        <w:rPr>
          <w:rFonts w:ascii="Calibri" w:hAnsi="Calibri" w:cs="Calibri"/>
          <w:color w:val="000000"/>
        </w:rPr>
        <w:t xml:space="preserve">- </w:t>
      </w:r>
      <w:r>
        <w:rPr>
          <w:rFonts w:ascii="Calibri" w:hAnsi="Calibri" w:cs="Calibri"/>
          <w:color w:val="000000"/>
        </w:rPr>
        <w:t>čas vypnutí 100 %</w:t>
      </w:r>
    </w:p>
    <w:p w14:paraId="42D12D83" w14:textId="77777777" w:rsidR="00063558" w:rsidRDefault="00063558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1A62F0B4" w14:textId="77777777" w:rsidR="00063558" w:rsidRDefault="00063558" w:rsidP="00063558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</w:rPr>
      </w:pPr>
    </w:p>
    <w:p w14:paraId="320EBF04" w14:textId="77777777" w:rsidR="00063558" w:rsidRDefault="00063558" w:rsidP="00063558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</w:rPr>
      </w:pPr>
    </w:p>
    <w:p w14:paraId="1DB2834B" w14:textId="77777777" w:rsidR="00063558" w:rsidRDefault="00063558" w:rsidP="00063558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</w:rPr>
      </w:pPr>
    </w:p>
    <w:p w14:paraId="5CA7AFDB" w14:textId="77777777" w:rsidR="00063558" w:rsidRDefault="00063558" w:rsidP="00063558">
      <w:pPr>
        <w:autoSpaceDE w:val="0"/>
        <w:autoSpaceDN w:val="0"/>
        <w:adjustRightInd w:val="0"/>
        <w:spacing w:after="0" w:line="240" w:lineRule="auto"/>
        <w:rPr>
          <w:rFonts w:ascii="Calibri,Italic" w:hAnsi="Calibri,Italic" w:cs="Calibri,Italic"/>
          <w:i/>
          <w:iCs/>
          <w:color w:val="000000"/>
        </w:rPr>
      </w:pPr>
    </w:p>
    <w:p w14:paraId="6628C52D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mbria,Bold" w:hAnsi="Cambria,Bold" w:cs="Cambria,Bold"/>
          <w:b/>
          <w:bCs/>
          <w:color w:val="4F83BE"/>
          <w:sz w:val="26"/>
          <w:szCs w:val="26"/>
        </w:rPr>
        <w:lastRenderedPageBreak/>
        <w:t>6. Konektivita</w:t>
      </w:r>
    </w:p>
    <w:p w14:paraId="45213E8B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2769234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6.1. Elektronický LED předřadník musí být na vyžádání možno řídit napěťovým signálem 1-10 V,</w:t>
      </w:r>
    </w:p>
    <w:p w14:paraId="077A366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systémem DALI nebo musí umožnit autonomní přednastavení regulace na úrovni předřadné části.</w:t>
      </w:r>
    </w:p>
    <w:p w14:paraId="7685D35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Svítidlo musí být taktéž možno vybavit pro řízení systémem vzdálené správy.</w:t>
      </w:r>
    </w:p>
    <w:p w14:paraId="6601FE06" w14:textId="77777777" w:rsidR="00BC2263" w:rsidRDefault="00BC2263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1004E862" w14:textId="502AA014" w:rsidR="00BC2263" w:rsidRPr="00BC2263" w:rsidRDefault="00BC2263" w:rsidP="00BC22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C2263">
        <w:rPr>
          <w:rFonts w:ascii="Calibri" w:hAnsi="Calibri" w:cs="Calibri"/>
          <w:color w:val="000000"/>
        </w:rPr>
        <w:t>Svítidlo musí být uvnitř vybaveno QR kódem napojeným na mobilní aplikaci umožňující získání veškerých technických informací o svítidle, montážního návodu, provozních podmínek, virtuálního pomocníka pro opravu svítidla a seznamu náhradních dílů s jejich přímým objednáním z mobilu nebo tabletu.</w:t>
      </w:r>
    </w:p>
    <w:p w14:paraId="0BC81DCF" w14:textId="6693A69A" w:rsidR="00BC2263" w:rsidRDefault="00BC2263" w:rsidP="00BC226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  <w:r w:rsidRPr="00BC2263">
        <w:rPr>
          <w:rFonts w:ascii="Calibri" w:hAnsi="Calibri" w:cs="Calibri"/>
          <w:color w:val="000000"/>
        </w:rPr>
        <w:t>Ke svítidlu musí být dodán QR kód pro nalepení na vnitřní stranu dvířek stožáru.</w:t>
      </w:r>
    </w:p>
    <w:p w14:paraId="0709030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</w:rPr>
      </w:pPr>
    </w:p>
    <w:p w14:paraId="7FC6D2C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rPr>
          <w:rFonts w:ascii="Calibri,BoldItalic" w:hAnsi="Calibri,BoldItalic" w:cs="Calibri,BoldItalic"/>
          <w:b/>
          <w:bCs/>
          <w:i/>
          <w:iCs/>
          <w:color w:val="000000"/>
        </w:rPr>
      </w:pPr>
      <w:r w:rsidRPr="00362F75">
        <w:rPr>
          <w:rFonts w:ascii="Calibri" w:hAnsi="Calibri" w:cs="Calibri"/>
          <w:color w:val="000000"/>
        </w:rPr>
        <w:t>6.2.</w:t>
      </w:r>
      <w:r>
        <w:rPr>
          <w:rFonts w:ascii="Calibri" w:hAnsi="Calibri" w:cs="Calibri"/>
          <w:color w:val="000000"/>
          <w:sz w:val="20"/>
          <w:szCs w:val="20"/>
        </w:rPr>
        <w:t xml:space="preserve"> </w:t>
      </w:r>
      <w:r>
        <w:rPr>
          <w:rFonts w:ascii="Calibri,BoldItalic" w:hAnsi="Calibri,BoldItalic" w:cs="Calibri,BoldItalic"/>
          <w:b/>
          <w:bCs/>
          <w:i/>
          <w:iCs/>
          <w:color w:val="000000"/>
        </w:rPr>
        <w:t>Konkrétní požadavek na konektivitu:</w:t>
      </w:r>
    </w:p>
    <w:p w14:paraId="0990F9F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Svítidla nemusí být vybavena žádným zařízením pro datovou konektivitu. Zároveň musí svítidla</w:t>
      </w:r>
    </w:p>
    <w:p w14:paraId="19D1E19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umožňovat, aby mohla být v případě požadavku provozovatele, nastane-li takový v budoucnu,</w:t>
      </w:r>
    </w:p>
    <w:p w14:paraId="23C7BFBD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jednoduchým plug-in připojením datového čidla a vysílače upgradována tak, aby splňovala následující</w:t>
      </w:r>
    </w:p>
    <w:p w14:paraId="4113686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specifikaci inteligentního veřejného osvětlení. Součástí inteligentního veřejného osvětlení musí být</w:t>
      </w:r>
    </w:p>
    <w:p w14:paraId="209876A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systém řízení, vzdálené správy a monitorování provozu, stavu a online řízení.</w:t>
      </w:r>
    </w:p>
    <w:p w14:paraId="140DCD73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6.3. Kompletní systém řízení veřejného osvětlení musí zahrnovat grafické uživatelské rozhraní,</w:t>
      </w:r>
    </w:p>
    <w:p w14:paraId="708F7F4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úplnou konektivitu mezi svítidly a uživatelským rozhraním a inteligentní svítidla se schopností</w:t>
      </w:r>
    </w:p>
    <w:p w14:paraId="4C11CF9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integrovat se automaticky do systému řízení. Systém řízení musí dále zahrnovat zpracování dat, přenos</w:t>
      </w:r>
    </w:p>
    <w:p w14:paraId="6255616A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dat, uchovávání dat, zálohu dat a zabezpečení přenosu dat. Úroveň zabezpečení přenosu dat musí být</w:t>
      </w:r>
    </w:p>
    <w:p w14:paraId="00871AF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na úrovni šifrování minimálně 128bit AES. Úplná správa dat musí být zabezpečena řídicím systémem,</w:t>
      </w:r>
    </w:p>
    <w:p w14:paraId="5A2342E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nikoliv uživatelem. Komunikace mezi uživatelským rozhraním a svítidly musí probíhat napřímo,</w:t>
      </w:r>
    </w:p>
    <w:p w14:paraId="15CBC1AA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bezdrátově prostřednictvím sítě mobilních operátorů. Systém nesmí vyžadovat žádné další řídicí nebo</w:t>
      </w:r>
    </w:p>
    <w:p w14:paraId="44D158D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komunikační prvky na úrovni pozemní instalace jako modem apod. Systém musí po instalaci svítidel a</w:t>
      </w:r>
    </w:p>
    <w:p w14:paraId="2E4A384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prvním zapnutí sám vybrat mobilní síť s nejsilnějším signálem v dané oblasti. Svítidla mohou být</w:t>
      </w:r>
    </w:p>
    <w:p w14:paraId="705CCAA9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instalována nezávisle na pozici ostatních svítidel, tzn. není nutné zajistit přímou viditelnost mezi svítidly.</w:t>
      </w:r>
    </w:p>
    <w:p w14:paraId="32D7A65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Chování svítidel nesmí selhat ani v případě výpadku sítě mobilních operátorů. Svítidla musejí nadále</w:t>
      </w:r>
    </w:p>
    <w:p w14:paraId="16141AB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pokračovat v posledním známém režimu až do obnovení sítě některého z mobilních operátorů</w:t>
      </w:r>
    </w:p>
    <w:p w14:paraId="1C51952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dostupného v dané lokalitě. Řídicí systém musí být přístupný z kteréhokoli běžného kancelářského</w:t>
      </w:r>
    </w:p>
    <w:p w14:paraId="00D4D01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počítače kdekoli na světě. Každému uživateli s přihlašovacími údaji a heslem musí být možné nastavit</w:t>
      </w:r>
    </w:p>
    <w:p w14:paraId="7F40D08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úroveň jeho práv v systému. Uživatelské rozhraní nemusí být instalováno v počítači. Uživatelské rozhraní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musí být provozováno jako webová aplikace přístupná z běžného internetového prohlížeče. Přístup do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uživatelského rozhraní musí být chráněn ve dvou úrovních – heslem a zaslaným kódem. Veškerá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interakce mezi uživatelem a uživatelským prostředím musí probíhat na úrovni šifrování minimálně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128bit SSL. Systém řízení musí pravidelně zálohovat veškerá data do minimálně tří fyzicky oddělených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úložišť, typicky v cloudu. Při selhání systému musí být data okamžitě obnovena ze zálohy. Celá IT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struktura systému řízení musí odpovídat certifikaci ISO 27001. Veškerá vylepšení uživatelského rozhraní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musejí být aplikována automaticky bez žádného požadavku na uživatele. Veškerá vylepšení inteligentní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jednotky ve svítidlech musí probíhat bezdrátovým přenosem, automaticky bez nutnosti zásahu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uživatele. Svítidla se musejí po instalaci sama automaticky připojit do systému řízení bez nutnosti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zásahu uživatele. Svítidla musejí sama určit svou polohu a tu zobrazit v grafickém uživatelském rozhraní.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Svítidla musí do systému řízení sama naimportovat své technické parametry. Celá procedura integrace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inteligentních svítidel do systému řízení musí být naprosto automatická bez nutnosti zásahu žádného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uživatele. Kapacita počtu svítidel obsluhovaných systémem musí být v řádu miliónů. Každé jednotlivé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svítidlo musí být možné ovládat samostatně, odděleně od ostatních. Uživatelské rozhraní musí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poskytovat detailní informace o každém jednotlivém svítidle. Svítidla v grafickém uživatelském rozhraní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musejí být zobrazena na přehledném mapovém podkladu, vč. leteckého pohledu. Systém musí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 xml:space="preserve">zobrazovat data v reálném čase bez nutnosti aktualizovat webovou stránku. Systém musí umět </w:t>
      </w:r>
      <w:r>
        <w:rPr>
          <w:rFonts w:ascii="Calibri" w:hAnsi="Calibri" w:cs="Calibri"/>
          <w:color w:val="000000"/>
        </w:rPr>
        <w:lastRenderedPageBreak/>
        <w:t>svítidla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dělit do regionů, dle ulic nebo zájmových skupin. Uživatel musí mít možnost tvořit své vlastní zájmové</w:t>
      </w:r>
      <w:r w:rsidR="004D780B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skupiny svítidel dle libosti. Každé ze svítidel musí být možné začlenit do více skupin svítidel současně.</w:t>
      </w:r>
      <w:r w:rsidR="004D780B">
        <w:rPr>
          <w:rFonts w:ascii="Calibri" w:hAnsi="Calibri" w:cs="Calibri"/>
          <w:color w:val="000000"/>
        </w:rPr>
        <w:t xml:space="preserve">   </w:t>
      </w:r>
    </w:p>
    <w:p w14:paraId="748CF61A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Systém musí umožňovat okamžitou změnu světelného toku každého jednotlivého svítidla. Každé-mu</w:t>
      </w:r>
    </w:p>
    <w:p w14:paraId="5ECA433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jednotlivému svítidlu nebo skupině svítidel musí být možné přiřadit </w:t>
      </w:r>
      <w:proofErr w:type="spellStart"/>
      <w:r>
        <w:rPr>
          <w:rFonts w:ascii="Calibri" w:hAnsi="Calibri" w:cs="Calibri"/>
          <w:color w:val="000000"/>
        </w:rPr>
        <w:t>stmívací</w:t>
      </w:r>
      <w:proofErr w:type="spellEnd"/>
      <w:r>
        <w:rPr>
          <w:rFonts w:ascii="Calibri" w:hAnsi="Calibri" w:cs="Calibri"/>
          <w:color w:val="000000"/>
        </w:rPr>
        <w:t xml:space="preserve"> kalendář s individuálním</w:t>
      </w:r>
    </w:p>
    <w:p w14:paraId="1080C9D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nastavením diagramu stmívání pro každý jednotlivý den v roce. Počet změn úrovně světelného toku</w:t>
      </w:r>
    </w:p>
    <w:p w14:paraId="37CB9CBD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během jednoho nočního stmívání musí být neomezený. Systém musí umožňovat provozování nejméně</w:t>
      </w:r>
    </w:p>
    <w:p w14:paraId="1948C68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padesáti různých </w:t>
      </w:r>
      <w:proofErr w:type="spellStart"/>
      <w:r>
        <w:rPr>
          <w:rFonts w:ascii="Calibri" w:hAnsi="Calibri" w:cs="Calibri"/>
          <w:color w:val="000000"/>
        </w:rPr>
        <w:t>stmívacích</w:t>
      </w:r>
      <w:proofErr w:type="spellEnd"/>
      <w:r>
        <w:rPr>
          <w:rFonts w:ascii="Calibri" w:hAnsi="Calibri" w:cs="Calibri"/>
          <w:color w:val="000000"/>
        </w:rPr>
        <w:t xml:space="preserve"> kalendářů. Každý </w:t>
      </w:r>
      <w:proofErr w:type="spellStart"/>
      <w:r>
        <w:rPr>
          <w:rFonts w:ascii="Calibri" w:hAnsi="Calibri" w:cs="Calibri"/>
          <w:color w:val="000000"/>
        </w:rPr>
        <w:t>stmívací</w:t>
      </w:r>
      <w:proofErr w:type="spellEnd"/>
      <w:r>
        <w:rPr>
          <w:rFonts w:ascii="Calibri" w:hAnsi="Calibri" w:cs="Calibri"/>
          <w:color w:val="000000"/>
        </w:rPr>
        <w:t xml:space="preserve"> kalendář musí obsahovat dílčí </w:t>
      </w:r>
      <w:proofErr w:type="spellStart"/>
      <w:r>
        <w:rPr>
          <w:rFonts w:ascii="Calibri" w:hAnsi="Calibri" w:cs="Calibri"/>
          <w:color w:val="000000"/>
        </w:rPr>
        <w:t>stmívací</w:t>
      </w:r>
      <w:proofErr w:type="spellEnd"/>
    </w:p>
    <w:p w14:paraId="1D59C39E" w14:textId="5C0B8016" w:rsidR="00771242" w:rsidRDefault="00771242" w:rsidP="00535B28">
      <w:pPr>
        <w:spacing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kalendáře s platností jednoho dne. Dílčí </w:t>
      </w:r>
      <w:proofErr w:type="spellStart"/>
      <w:r>
        <w:rPr>
          <w:rFonts w:ascii="Calibri" w:hAnsi="Calibri" w:cs="Calibri"/>
          <w:color w:val="000000"/>
        </w:rPr>
        <w:t>stmívací</w:t>
      </w:r>
      <w:proofErr w:type="spellEnd"/>
      <w:r>
        <w:rPr>
          <w:rFonts w:ascii="Calibri" w:hAnsi="Calibri" w:cs="Calibri"/>
          <w:color w:val="000000"/>
        </w:rPr>
        <w:t xml:space="preserve"> kalendáře se mohou během roku opakovat na základě</w:t>
      </w:r>
      <w:r w:rsidR="00535B28">
        <w:rPr>
          <w:rFonts w:ascii="Calibri" w:hAnsi="Calibri" w:cs="Calibri"/>
          <w:color w:val="000000"/>
        </w:rPr>
        <w:t xml:space="preserve"> </w:t>
      </w:r>
      <w:r>
        <w:rPr>
          <w:rFonts w:ascii="Calibri" w:hAnsi="Calibri" w:cs="Calibri"/>
          <w:color w:val="000000"/>
        </w:rPr>
        <w:t>zadaných pravidel. Na požádání musí uživatel dostat aktuální informaci o každém jednotlivém svítidle.</w:t>
      </w:r>
    </w:p>
    <w:p w14:paraId="17B2457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Systém musí uživateli každý den ráno zasílat chybová hlášení zjištěná z předešlé noci, pokud taková</w:t>
      </w:r>
    </w:p>
    <w:p w14:paraId="2D1EA6A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existují. Aktuální poruchy v systému musejí být vizualizovány v grafickém uživatelském rozhraní.</w:t>
      </w:r>
    </w:p>
    <w:p w14:paraId="0BEBA9F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Prodleva mezi vznikem závady a jejím zobrazení v grafickém uživatelském rozhraní nesmí být delší než</w:t>
      </w:r>
    </w:p>
    <w:p w14:paraId="6AE407AC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30 minut. Specifikace chyb registrovaných systémem musí být podrobně popsána. Systém musí</w:t>
      </w:r>
    </w:p>
    <w:p w14:paraId="4907525C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umožňovat sledování historie skutečné naměřené spotřeby elektrické energie každé-ho jednotlivého</w:t>
      </w:r>
    </w:p>
    <w:p w14:paraId="38EF7D7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svítidla nebo skupiny svítidel. Uživatelské rozhraní musí umožňovat vyhledávání v soustavě světelných</w:t>
      </w:r>
    </w:p>
    <w:p w14:paraId="56AC591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bodů na základě i několika parametrů. Uživatelské rozhraní musí umožňovat generování reportů dle</w:t>
      </w:r>
    </w:p>
    <w:p w14:paraId="2CE225DD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oblasti zájmu uživatele. Uživatelské rozhraní musí umožňovat export dat ve formátu </w:t>
      </w:r>
      <w:proofErr w:type="spellStart"/>
      <w:r>
        <w:rPr>
          <w:rFonts w:ascii="Calibri" w:hAnsi="Calibri" w:cs="Calibri"/>
          <w:color w:val="000000"/>
        </w:rPr>
        <w:t>xls</w:t>
      </w:r>
      <w:proofErr w:type="spellEnd"/>
      <w:r>
        <w:rPr>
          <w:rFonts w:ascii="Calibri" w:hAnsi="Calibri" w:cs="Calibri"/>
          <w:color w:val="000000"/>
        </w:rPr>
        <w:t>/</w:t>
      </w:r>
      <w:proofErr w:type="spellStart"/>
      <w:r>
        <w:rPr>
          <w:rFonts w:ascii="Calibri" w:hAnsi="Calibri" w:cs="Calibri"/>
          <w:color w:val="000000"/>
        </w:rPr>
        <w:t>xlsx</w:t>
      </w:r>
      <w:proofErr w:type="spellEnd"/>
      <w:r>
        <w:rPr>
          <w:rFonts w:ascii="Calibri" w:hAnsi="Calibri" w:cs="Calibri"/>
          <w:color w:val="000000"/>
        </w:rPr>
        <w:t>.</w:t>
      </w:r>
    </w:p>
    <w:p w14:paraId="7AD361B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Uživatelské rozhraní musí být možné kombinovat s interaktivním pasportem veřejného osvětlení.</w:t>
      </w:r>
    </w:p>
    <w:p w14:paraId="1A582F1A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Grafická značka inteligentního svítidla a svítidla bez konektivity musí být rozdílná. Dodatečná integrace</w:t>
      </w:r>
    </w:p>
    <w:p w14:paraId="4413C3E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pasportu svítidel nesmí znamenat žádný zvýšený nárok na software, hardware nebo komponenty</w:t>
      </w:r>
    </w:p>
    <w:p w14:paraId="454F250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pozemní instalace.</w:t>
      </w:r>
    </w:p>
    <w:p w14:paraId="084C223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BC83818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7. Garance</w:t>
      </w:r>
    </w:p>
    <w:p w14:paraId="7B1CD47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1C0F10A1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7.1. Životnost svítidla udávaná výrobcem musí být </w:t>
      </w:r>
      <w:r w:rsidRPr="0022094B">
        <w:rPr>
          <w:rFonts w:ascii="Calibri" w:hAnsi="Calibri" w:cs="Calibri"/>
          <w:b/>
          <w:bCs/>
          <w:color w:val="000000"/>
        </w:rPr>
        <w:t>100000 hodin</w:t>
      </w:r>
      <w:r>
        <w:rPr>
          <w:rFonts w:ascii="Calibri" w:hAnsi="Calibri" w:cs="Calibri"/>
          <w:color w:val="000000"/>
        </w:rPr>
        <w:t xml:space="preserve"> provozu (při nejvyšším přípustném</w:t>
      </w:r>
    </w:p>
    <w:p w14:paraId="08FDA3AB" w14:textId="78B7F42D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poklesu světelného toku </w:t>
      </w:r>
      <w:proofErr w:type="gramStart"/>
      <w:r w:rsidR="0022094B">
        <w:rPr>
          <w:rFonts w:ascii="Calibri" w:hAnsi="Calibri" w:cs="Calibri"/>
          <w:color w:val="000000"/>
        </w:rPr>
        <w:t>1</w:t>
      </w:r>
      <w:r>
        <w:rPr>
          <w:rFonts w:ascii="Calibri" w:hAnsi="Calibri" w:cs="Calibri"/>
          <w:color w:val="000000"/>
        </w:rPr>
        <w:t>0%</w:t>
      </w:r>
      <w:proofErr w:type="gramEnd"/>
      <w:r>
        <w:rPr>
          <w:rFonts w:ascii="Calibri" w:hAnsi="Calibri" w:cs="Calibri"/>
          <w:color w:val="000000"/>
        </w:rPr>
        <w:t xml:space="preserve"> - tedy </w:t>
      </w:r>
      <w:r w:rsidRPr="0022094B">
        <w:rPr>
          <w:rFonts w:ascii="Calibri" w:hAnsi="Calibri" w:cs="Calibri"/>
          <w:b/>
          <w:bCs/>
          <w:color w:val="000000"/>
        </w:rPr>
        <w:t>L</w:t>
      </w:r>
      <w:r w:rsidR="0022094B" w:rsidRPr="0022094B">
        <w:rPr>
          <w:rFonts w:ascii="Calibri" w:hAnsi="Calibri" w:cs="Calibri"/>
          <w:b/>
          <w:bCs/>
          <w:color w:val="000000"/>
        </w:rPr>
        <w:t>9</w:t>
      </w:r>
      <w:r w:rsidRPr="0022094B">
        <w:rPr>
          <w:rFonts w:ascii="Calibri" w:hAnsi="Calibri" w:cs="Calibri"/>
          <w:b/>
          <w:bCs/>
          <w:color w:val="000000"/>
        </w:rPr>
        <w:t>0B</w:t>
      </w:r>
      <w:r w:rsidR="00066340" w:rsidRPr="0022094B">
        <w:rPr>
          <w:rFonts w:ascii="Calibri" w:hAnsi="Calibri" w:cs="Calibri"/>
          <w:b/>
          <w:bCs/>
          <w:color w:val="000000"/>
        </w:rPr>
        <w:t>1</w:t>
      </w:r>
      <w:r w:rsidRPr="0022094B">
        <w:rPr>
          <w:rFonts w:ascii="Calibri" w:hAnsi="Calibri" w:cs="Calibri"/>
          <w:b/>
          <w:bCs/>
          <w:color w:val="000000"/>
        </w:rPr>
        <w:t>0</w:t>
      </w:r>
      <w:r>
        <w:rPr>
          <w:rFonts w:ascii="Calibri" w:hAnsi="Calibri" w:cs="Calibri"/>
          <w:color w:val="000000"/>
        </w:rPr>
        <w:t>) nebo 25 let za podmínek užívání k účelu, ke kterému je</w:t>
      </w:r>
    </w:p>
    <w:p w14:paraId="057C8CEC" w14:textId="0769211D" w:rsidR="00771242" w:rsidRPr="00034454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color w:val="000000"/>
        </w:rPr>
        <w:t xml:space="preserve">určeno. </w:t>
      </w:r>
      <w:r w:rsidRPr="00034454">
        <w:rPr>
          <w:rFonts w:ascii="Calibri" w:hAnsi="Calibri" w:cs="Calibri"/>
          <w:b/>
          <w:bCs/>
          <w:color w:val="000000"/>
        </w:rPr>
        <w:t xml:space="preserve">Garance na celé svítidlo musí být min. </w:t>
      </w:r>
      <w:r w:rsidR="00AE795C" w:rsidRPr="00034454">
        <w:rPr>
          <w:rFonts w:ascii="Calibri" w:hAnsi="Calibri" w:cs="Calibri"/>
          <w:b/>
          <w:bCs/>
          <w:color w:val="000000"/>
        </w:rPr>
        <w:t>10</w:t>
      </w:r>
      <w:r w:rsidRPr="00034454">
        <w:rPr>
          <w:rFonts w:ascii="Calibri" w:hAnsi="Calibri" w:cs="Calibri"/>
          <w:b/>
          <w:bCs/>
          <w:color w:val="000000"/>
        </w:rPr>
        <w:t xml:space="preserve"> let, včetně napáječe.</w:t>
      </w:r>
    </w:p>
    <w:p w14:paraId="67281453" w14:textId="77777777" w:rsidR="00A31714" w:rsidRPr="00034454" w:rsidRDefault="00A31714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69E269D" w14:textId="5E7B1699" w:rsidR="00771242" w:rsidRPr="00034454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</w:rPr>
      </w:pPr>
      <w:r w:rsidRPr="00034454">
        <w:rPr>
          <w:rFonts w:ascii="Calibri" w:hAnsi="Calibri" w:cs="Calibri"/>
          <w:b/>
          <w:bCs/>
          <w:color w:val="000000"/>
        </w:rPr>
        <w:t xml:space="preserve">Požadovanou </w:t>
      </w:r>
      <w:r w:rsidR="00362F75" w:rsidRPr="00034454">
        <w:rPr>
          <w:rFonts w:ascii="Calibri" w:hAnsi="Calibri" w:cs="Calibri"/>
          <w:b/>
          <w:bCs/>
          <w:color w:val="000000"/>
        </w:rPr>
        <w:t xml:space="preserve">životnost svítidel a </w:t>
      </w:r>
      <w:r w:rsidRPr="00034454">
        <w:rPr>
          <w:rFonts w:ascii="Calibri" w:hAnsi="Calibri" w:cs="Calibri"/>
          <w:b/>
          <w:bCs/>
          <w:color w:val="000000"/>
        </w:rPr>
        <w:t>garanční lhůtu musí účastníci doložit prohlášením vystaveným výrobcem svítidel, které</w:t>
      </w:r>
      <w:r w:rsidR="00A31714" w:rsidRPr="00034454">
        <w:rPr>
          <w:rFonts w:ascii="Calibri" w:hAnsi="Calibri" w:cs="Calibri"/>
          <w:b/>
          <w:bCs/>
          <w:color w:val="000000"/>
        </w:rPr>
        <w:t xml:space="preserve"> </w:t>
      </w:r>
      <w:r w:rsidRPr="00034454">
        <w:rPr>
          <w:rFonts w:ascii="Calibri" w:hAnsi="Calibri" w:cs="Calibri"/>
          <w:b/>
          <w:bCs/>
          <w:color w:val="000000"/>
        </w:rPr>
        <w:t>př</w:t>
      </w:r>
      <w:r w:rsidR="00362F75" w:rsidRPr="00034454">
        <w:rPr>
          <w:rFonts w:ascii="Calibri" w:hAnsi="Calibri" w:cs="Calibri"/>
          <w:b/>
          <w:bCs/>
          <w:color w:val="000000"/>
        </w:rPr>
        <w:t>i</w:t>
      </w:r>
      <w:r w:rsidRPr="00034454">
        <w:rPr>
          <w:rFonts w:ascii="Calibri" w:hAnsi="Calibri" w:cs="Calibri"/>
          <w:b/>
          <w:bCs/>
          <w:color w:val="000000"/>
        </w:rPr>
        <w:t>loží k nabídce.</w:t>
      </w:r>
    </w:p>
    <w:p w14:paraId="0C3C2EE1" w14:textId="77777777" w:rsidR="00771242" w:rsidRPr="00034454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BDF190B" w14:textId="7AF9EB8E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 w:rsidRPr="00455ED8">
        <w:rPr>
          <w:rFonts w:ascii="Cambria,Bold" w:hAnsi="Cambria,Bold" w:cs="Cambria,Bold"/>
          <w:b/>
          <w:bCs/>
          <w:color w:val="4F83BE"/>
          <w:sz w:val="26"/>
          <w:szCs w:val="26"/>
        </w:rPr>
        <w:t>8. Optika</w:t>
      </w:r>
      <w:r w:rsidR="00754929" w:rsidRPr="00455ED8">
        <w:rPr>
          <w:rFonts w:ascii="Cambria,Bold" w:hAnsi="Cambria,Bold" w:cs="Cambria,Bold"/>
          <w:b/>
          <w:bCs/>
          <w:color w:val="4F83BE"/>
          <w:sz w:val="26"/>
          <w:szCs w:val="26"/>
        </w:rPr>
        <w:t>,</w:t>
      </w:r>
      <w:r w:rsidRPr="00455ED8">
        <w:rPr>
          <w:rFonts w:ascii="Cambria,Bold" w:hAnsi="Cambria,Bold" w:cs="Cambria,Bold"/>
          <w:b/>
          <w:bCs/>
          <w:color w:val="4F83BE"/>
          <w:sz w:val="26"/>
          <w:szCs w:val="26"/>
        </w:rPr>
        <w:t xml:space="preserve"> náhradní teplota chromatičnosti</w:t>
      </w:r>
      <w:r w:rsidR="00754929" w:rsidRPr="00455ED8">
        <w:rPr>
          <w:rFonts w:ascii="Cambria,Bold" w:hAnsi="Cambria,Bold" w:cs="Cambria,Bold"/>
          <w:b/>
          <w:bCs/>
          <w:color w:val="4F83BE"/>
          <w:sz w:val="26"/>
          <w:szCs w:val="26"/>
        </w:rPr>
        <w:t xml:space="preserve"> a parametr U500</w:t>
      </w:r>
    </w:p>
    <w:p w14:paraId="38D0BAC0" w14:textId="77777777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3A99260D" w14:textId="77777777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  <w:sz w:val="20"/>
          <w:szCs w:val="20"/>
        </w:rPr>
        <w:t xml:space="preserve">8.1. </w:t>
      </w:r>
      <w:r w:rsidRPr="00455ED8">
        <w:rPr>
          <w:rFonts w:ascii="Calibri" w:hAnsi="Calibri" w:cs="Calibri"/>
          <w:color w:val="000000"/>
        </w:rPr>
        <w:t>Každá jednotlivá LED musí být osazena identickou čočkou z lisovaného čirého vstřikovaného</w:t>
      </w:r>
    </w:p>
    <w:p w14:paraId="20559372" w14:textId="77777777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</w:rPr>
        <w:t>PMMA odolného vůči UV záření, zajišťující jednotlivým LED příslušnou pouliční vyzařovací</w:t>
      </w:r>
    </w:p>
    <w:p w14:paraId="0E064446" w14:textId="77777777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</w:rPr>
        <w:t>charakteristiku, identickou pro každou jednotlivou čočku. Světelný tok musí být distribuován přímo</w:t>
      </w:r>
    </w:p>
    <w:p w14:paraId="2175EC53" w14:textId="77777777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</w:rPr>
        <w:t>bez sekundárních odrazů, tzn. bez použití reflektorů a obdobných prvků.</w:t>
      </w:r>
    </w:p>
    <w:p w14:paraId="1BB78235" w14:textId="755E0DFB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</w:rPr>
        <w:t xml:space="preserve">Maximální přípustná hodnota náhradní teploty chromatičnosti svítidel </w:t>
      </w:r>
      <w:proofErr w:type="spellStart"/>
      <w:r w:rsidRPr="00455ED8">
        <w:rPr>
          <w:rFonts w:ascii="Calibri" w:hAnsi="Calibri" w:cs="Calibri"/>
          <w:b/>
          <w:bCs/>
          <w:color w:val="000000"/>
        </w:rPr>
        <w:t>Tc</w:t>
      </w:r>
      <w:proofErr w:type="spellEnd"/>
      <w:r w:rsidRPr="00455ED8">
        <w:rPr>
          <w:rFonts w:ascii="Calibri" w:hAnsi="Calibri" w:cs="Calibri"/>
          <w:b/>
          <w:bCs/>
          <w:color w:val="000000"/>
        </w:rPr>
        <w:t xml:space="preserve"> je 2</w:t>
      </w:r>
      <w:r w:rsidR="000C2590" w:rsidRPr="00455ED8">
        <w:rPr>
          <w:rFonts w:ascii="Calibri" w:hAnsi="Calibri" w:cs="Calibri"/>
          <w:b/>
          <w:bCs/>
          <w:color w:val="000000"/>
        </w:rPr>
        <w:t>2</w:t>
      </w:r>
      <w:r w:rsidRPr="00455ED8">
        <w:rPr>
          <w:rFonts w:ascii="Calibri" w:hAnsi="Calibri" w:cs="Calibri"/>
          <w:b/>
          <w:bCs/>
          <w:color w:val="000000"/>
        </w:rPr>
        <w:t>00 K</w:t>
      </w:r>
      <w:r w:rsidRPr="00455ED8">
        <w:rPr>
          <w:rFonts w:ascii="Calibri" w:hAnsi="Calibri" w:cs="Calibri"/>
          <w:color w:val="000000"/>
        </w:rPr>
        <w:t>. Tato hodnota nesmí být překročena.</w:t>
      </w:r>
    </w:p>
    <w:p w14:paraId="6D20A553" w14:textId="77777777" w:rsidR="00B145AD" w:rsidRPr="00455ED8" w:rsidRDefault="00B145AD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C7EFC6A" w14:textId="0843AD8F" w:rsidR="00B145AD" w:rsidRPr="00455ED8" w:rsidRDefault="00B145AD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</w:rPr>
        <w:t xml:space="preserve">8.2. </w:t>
      </w:r>
      <w:r w:rsidR="00AE67C0" w:rsidRPr="00455ED8">
        <w:rPr>
          <w:rFonts w:ascii="Calibri" w:hAnsi="Calibri" w:cs="Calibri"/>
          <w:color w:val="000000"/>
        </w:rPr>
        <w:t xml:space="preserve">Parametr U500 </w:t>
      </w:r>
      <w:r w:rsidR="00FA0F29" w:rsidRPr="00455ED8">
        <w:rPr>
          <w:rFonts w:ascii="Calibri" w:hAnsi="Calibri" w:cs="Calibri"/>
          <w:color w:val="000000"/>
        </w:rPr>
        <w:t>–</w:t>
      </w:r>
      <w:r w:rsidR="00AE67C0" w:rsidRPr="00455ED8">
        <w:rPr>
          <w:rFonts w:ascii="Calibri" w:hAnsi="Calibri" w:cs="Calibri"/>
          <w:color w:val="000000"/>
        </w:rPr>
        <w:t xml:space="preserve"> </w:t>
      </w:r>
      <w:r w:rsidR="00FA0F29" w:rsidRPr="00455ED8">
        <w:rPr>
          <w:rFonts w:ascii="Calibri" w:hAnsi="Calibri" w:cs="Calibri"/>
          <w:color w:val="000000"/>
        </w:rPr>
        <w:t>řešená obec je v rámci ČSN 36 0459 zatříděna jako O1 do zóny světelného prostředí Z2.</w:t>
      </w:r>
      <w:r w:rsidR="00B35367" w:rsidRPr="00455ED8">
        <w:rPr>
          <w:rFonts w:ascii="Calibri" w:hAnsi="Calibri" w:cs="Calibri"/>
          <w:color w:val="000000"/>
        </w:rPr>
        <w:t xml:space="preserve"> Parametr U500 </w:t>
      </w:r>
      <w:r w:rsidR="00B35367" w:rsidRPr="00455ED8">
        <w:rPr>
          <w:rFonts w:ascii="Calibri" w:hAnsi="Calibri" w:cs="Calibri"/>
          <w:color w:val="000000"/>
          <w:lang w:val="en-US"/>
        </w:rPr>
        <w:t>(</w:t>
      </w:r>
      <w:r w:rsidR="00B35367" w:rsidRPr="00455ED8">
        <w:rPr>
          <w:rFonts w:ascii="Calibri" w:hAnsi="Calibri" w:cs="Calibri"/>
          <w:color w:val="000000"/>
        </w:rPr>
        <w:t>podíl energie modré složky světla</w:t>
      </w:r>
      <w:r w:rsidR="00B35367" w:rsidRPr="00455ED8">
        <w:rPr>
          <w:rFonts w:ascii="Calibri" w:hAnsi="Calibri" w:cs="Calibri"/>
          <w:color w:val="000000"/>
          <w:lang w:val="en-US"/>
        </w:rPr>
        <w:t>)</w:t>
      </w:r>
      <w:r w:rsidR="00B35367" w:rsidRPr="00455ED8">
        <w:rPr>
          <w:rFonts w:ascii="Calibri" w:hAnsi="Calibri" w:cs="Calibri"/>
          <w:color w:val="000000"/>
        </w:rPr>
        <w:t xml:space="preserve"> musí být tedy nižší než </w:t>
      </w:r>
      <w:proofErr w:type="gramStart"/>
      <w:r w:rsidR="00B35367" w:rsidRPr="00455ED8">
        <w:rPr>
          <w:rFonts w:ascii="Calibri" w:hAnsi="Calibri" w:cs="Calibri"/>
          <w:color w:val="000000"/>
        </w:rPr>
        <w:t>7</w:t>
      </w:r>
      <w:r w:rsidR="00B35367" w:rsidRPr="00455ED8">
        <w:rPr>
          <w:rFonts w:ascii="Calibri" w:hAnsi="Calibri" w:cs="Calibri"/>
          <w:color w:val="000000"/>
          <w:lang w:val="en-US"/>
        </w:rPr>
        <w:t>%</w:t>
      </w:r>
      <w:proofErr w:type="gramEnd"/>
      <w:r w:rsidR="00B35367" w:rsidRPr="00455ED8">
        <w:rPr>
          <w:rFonts w:ascii="Calibri" w:hAnsi="Calibri" w:cs="Calibri"/>
          <w:color w:val="000000"/>
        </w:rPr>
        <w:t>.</w:t>
      </w:r>
    </w:p>
    <w:p w14:paraId="1155B5F7" w14:textId="51C04BA8" w:rsidR="00B35367" w:rsidRPr="00455ED8" w:rsidRDefault="00B35367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color w:val="000000"/>
        </w:rPr>
        <w:t xml:space="preserve">Hodnota tohoto parametru musí být doložena výpočtem dle schválené metodiky – například aplikací </w:t>
      </w:r>
      <w:proofErr w:type="spellStart"/>
      <w:r w:rsidRPr="00455ED8">
        <w:rPr>
          <w:rFonts w:ascii="Calibri" w:hAnsi="Calibri" w:cs="Calibri"/>
          <w:color w:val="000000"/>
        </w:rPr>
        <w:t>LUOXtech</w:t>
      </w:r>
      <w:proofErr w:type="spellEnd"/>
      <w:r w:rsidRPr="00455ED8">
        <w:rPr>
          <w:rFonts w:ascii="Calibri" w:hAnsi="Calibri" w:cs="Calibri"/>
          <w:color w:val="000000"/>
        </w:rPr>
        <w:t xml:space="preserve"> a čestným prohlášením výrobce svítidel.</w:t>
      </w:r>
    </w:p>
    <w:p w14:paraId="7FB07406" w14:textId="77777777" w:rsidR="0022094B" w:rsidRPr="00455ED8" w:rsidRDefault="0022094B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A0AF834" w14:textId="125ED91A" w:rsidR="00771242" w:rsidRPr="00455ED8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color w:val="000000"/>
        </w:rPr>
      </w:pPr>
      <w:r w:rsidRPr="00455ED8">
        <w:rPr>
          <w:rFonts w:ascii="Calibri" w:hAnsi="Calibri" w:cs="Calibri"/>
          <w:b/>
          <w:bCs/>
          <w:color w:val="000000"/>
        </w:rPr>
        <w:t xml:space="preserve">Splnění </w:t>
      </w:r>
      <w:r w:rsidR="00AE67C0" w:rsidRPr="00455ED8">
        <w:rPr>
          <w:rFonts w:ascii="Calibri" w:hAnsi="Calibri" w:cs="Calibri"/>
          <w:b/>
          <w:bCs/>
          <w:color w:val="000000"/>
        </w:rPr>
        <w:t xml:space="preserve">výše uvedených </w:t>
      </w:r>
      <w:r w:rsidRPr="00455ED8">
        <w:rPr>
          <w:rFonts w:ascii="Calibri" w:hAnsi="Calibri" w:cs="Calibri"/>
          <w:b/>
          <w:bCs/>
          <w:color w:val="000000"/>
        </w:rPr>
        <w:t>parametr</w:t>
      </w:r>
      <w:r w:rsidR="00AE67C0" w:rsidRPr="00455ED8">
        <w:rPr>
          <w:rFonts w:ascii="Calibri" w:hAnsi="Calibri" w:cs="Calibri"/>
          <w:b/>
          <w:bCs/>
          <w:color w:val="000000"/>
        </w:rPr>
        <w:t>ů</w:t>
      </w:r>
      <w:r w:rsidRPr="00455ED8">
        <w:rPr>
          <w:rFonts w:ascii="Calibri" w:hAnsi="Calibri" w:cs="Calibri"/>
          <w:b/>
          <w:bCs/>
          <w:color w:val="000000"/>
        </w:rPr>
        <w:t xml:space="preserve"> musí být doloženo výrobcem</w:t>
      </w:r>
      <w:r w:rsidR="00B35367" w:rsidRPr="00455ED8">
        <w:rPr>
          <w:rFonts w:ascii="Calibri" w:hAnsi="Calibri" w:cs="Calibri"/>
          <w:b/>
          <w:bCs/>
          <w:color w:val="000000"/>
        </w:rPr>
        <w:t xml:space="preserve"> svítidel</w:t>
      </w:r>
      <w:r w:rsidRPr="00455ED8">
        <w:rPr>
          <w:rFonts w:ascii="Calibri" w:hAnsi="Calibri" w:cs="Calibri"/>
          <w:b/>
          <w:bCs/>
          <w:color w:val="000000"/>
        </w:rPr>
        <w:t>.</w:t>
      </w:r>
    </w:p>
    <w:p w14:paraId="41E0D1A3" w14:textId="412A9C1E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455ED8">
        <w:rPr>
          <w:rFonts w:ascii="Calibri" w:hAnsi="Calibri" w:cs="Calibri"/>
          <w:b/>
          <w:bCs/>
          <w:color w:val="000000"/>
        </w:rPr>
        <w:t xml:space="preserve">Nesplnění </w:t>
      </w:r>
      <w:r w:rsidR="00B35367" w:rsidRPr="00455ED8">
        <w:rPr>
          <w:rFonts w:ascii="Calibri" w:hAnsi="Calibri" w:cs="Calibri"/>
          <w:b/>
          <w:bCs/>
          <w:color w:val="000000"/>
        </w:rPr>
        <w:t>těchto</w:t>
      </w:r>
      <w:r w:rsidRPr="00455ED8">
        <w:rPr>
          <w:rFonts w:ascii="Calibri" w:hAnsi="Calibri" w:cs="Calibri"/>
          <w:b/>
          <w:bCs/>
          <w:color w:val="000000"/>
        </w:rPr>
        <w:t xml:space="preserve"> parametr</w:t>
      </w:r>
      <w:r w:rsidR="00B35367" w:rsidRPr="00455ED8">
        <w:rPr>
          <w:rFonts w:ascii="Calibri" w:hAnsi="Calibri" w:cs="Calibri"/>
          <w:b/>
          <w:bCs/>
          <w:color w:val="000000"/>
        </w:rPr>
        <w:t>ů</w:t>
      </w:r>
      <w:r w:rsidRPr="00455ED8">
        <w:rPr>
          <w:rFonts w:ascii="Calibri" w:hAnsi="Calibri" w:cs="Calibri"/>
          <w:b/>
          <w:bCs/>
          <w:color w:val="000000"/>
        </w:rPr>
        <w:t xml:space="preserve"> je vážným porušením závazných technických podmínek</w:t>
      </w:r>
      <w:r w:rsidRPr="00455ED8">
        <w:rPr>
          <w:rFonts w:ascii="Calibri" w:hAnsi="Calibri" w:cs="Calibri"/>
          <w:color w:val="000000"/>
        </w:rPr>
        <w:t>.</w:t>
      </w:r>
    </w:p>
    <w:p w14:paraId="46E7B993" w14:textId="77777777" w:rsidR="00504C49" w:rsidRDefault="00504C49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8D71F8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FE1323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mbria,Bold" w:hAnsi="Cambria,Bold" w:cs="Cambria,Bold"/>
          <w:b/>
          <w:bCs/>
          <w:color w:val="4F83BE"/>
          <w:sz w:val="26"/>
          <w:szCs w:val="26"/>
        </w:rPr>
        <w:lastRenderedPageBreak/>
        <w:t>9. CLO</w:t>
      </w:r>
    </w:p>
    <w:p w14:paraId="1D4F6BD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0AE85852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9.1. Svítidlo musí mít funkci garantovaného konstantního světelného toku, kdy vyzářené množství</w:t>
      </w:r>
    </w:p>
    <w:p w14:paraId="0E90ED07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světla na konci životnosti (po 100.000 hodinách) bude stejné jako při prvním zapnutí. Toho musí být</w:t>
      </w:r>
    </w:p>
    <w:p w14:paraId="68E1D199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docíleno tím, že na začátku budou diody buzeny minimálním proudem, který se automaticky min. 16x</w:t>
      </w:r>
    </w:p>
    <w:p w14:paraId="3A32D34B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 nastavenou životnost svítidla mírně navýší. Tímto efektem musí být docíleno nižšího příkonu</w:t>
      </w:r>
    </w:p>
    <w:p w14:paraId="4AE0AFA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svítidla na začátku, který se bude mírně zvyšovat, ale nedosáhne příkonu svítidla bez funkce</w:t>
      </w:r>
    </w:p>
    <w:p w14:paraId="28BE5CA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konstantního světelného toku.</w:t>
      </w:r>
    </w:p>
    <w:p w14:paraId="29F43540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C539AC9" w14:textId="7E145332" w:rsidR="00362F75" w:rsidRPr="00AA71B0" w:rsidRDefault="00362F75" w:rsidP="00362F75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 w:rsidRPr="00AA71B0">
        <w:rPr>
          <w:rFonts w:ascii="Cambria,Bold" w:hAnsi="Cambria,Bold" w:cs="Cambria,Bold"/>
          <w:b/>
          <w:bCs/>
          <w:color w:val="4F83BE"/>
          <w:sz w:val="26"/>
          <w:szCs w:val="26"/>
        </w:rPr>
        <w:t>10. Příkon:</w:t>
      </w:r>
    </w:p>
    <w:p w14:paraId="1407E13C" w14:textId="77777777" w:rsidR="00362F75" w:rsidRPr="00AA71B0" w:rsidRDefault="00362F75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E3255C9" w14:textId="64A39B78" w:rsidR="00362F75" w:rsidRDefault="00362F75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AA71B0">
        <w:rPr>
          <w:rFonts w:ascii="Calibri" w:hAnsi="Calibri" w:cs="Calibri"/>
          <w:color w:val="000000"/>
        </w:rPr>
        <w:t xml:space="preserve">Příkony všech svítidel musí splnit podmínky z dotační výzvy </w:t>
      </w:r>
      <w:r w:rsidR="00455ED8" w:rsidRPr="00AA71B0">
        <w:rPr>
          <w:rFonts w:ascii="Calibri" w:hAnsi="Calibri" w:cs="Calibri"/>
          <w:color w:val="000000"/>
        </w:rPr>
        <w:t xml:space="preserve">MODF – </w:t>
      </w:r>
      <w:proofErr w:type="spellStart"/>
      <w:r w:rsidR="00455ED8" w:rsidRPr="00AA71B0">
        <w:rPr>
          <w:rFonts w:ascii="Calibri" w:hAnsi="Calibri" w:cs="Calibri"/>
          <w:color w:val="000000"/>
        </w:rPr>
        <w:t>Smartnet</w:t>
      </w:r>
      <w:proofErr w:type="spellEnd"/>
      <w:r w:rsidR="00455ED8" w:rsidRPr="00AA71B0">
        <w:rPr>
          <w:rFonts w:ascii="Calibri" w:hAnsi="Calibri" w:cs="Calibri"/>
          <w:color w:val="000000"/>
        </w:rPr>
        <w:t xml:space="preserve"> č.1/2025</w:t>
      </w:r>
      <w:r w:rsidRPr="00AA71B0">
        <w:rPr>
          <w:rFonts w:ascii="Calibri" w:hAnsi="Calibri" w:cs="Calibri"/>
          <w:color w:val="000000"/>
        </w:rPr>
        <w:t xml:space="preserve">), takže celkový střední příkon soustavy včetně předřadných obvodů zohledňující profil stmívání a vliv CLO nesmí překročit hodnotu </w:t>
      </w:r>
      <w:r w:rsidR="00187416" w:rsidRPr="00187416">
        <w:rPr>
          <w:rFonts w:ascii="Calibri" w:hAnsi="Calibri" w:cs="Calibri"/>
          <w:b/>
          <w:bCs/>
          <w:color w:val="000000"/>
        </w:rPr>
        <w:t>3</w:t>
      </w:r>
      <w:r w:rsidR="003338AA" w:rsidRPr="00187416">
        <w:rPr>
          <w:rFonts w:ascii="Calibri" w:hAnsi="Calibri" w:cs="Calibri"/>
          <w:b/>
          <w:bCs/>
          <w:color w:val="000000"/>
        </w:rPr>
        <w:t>,</w:t>
      </w:r>
      <w:r w:rsidR="00187416" w:rsidRPr="00187416">
        <w:rPr>
          <w:rFonts w:ascii="Calibri" w:hAnsi="Calibri" w:cs="Calibri"/>
          <w:b/>
          <w:bCs/>
          <w:color w:val="000000"/>
        </w:rPr>
        <w:t>2</w:t>
      </w:r>
      <w:r w:rsidRPr="00187416">
        <w:rPr>
          <w:rFonts w:ascii="Calibri" w:hAnsi="Calibri" w:cs="Calibri"/>
          <w:b/>
          <w:bCs/>
          <w:color w:val="000000"/>
        </w:rPr>
        <w:t xml:space="preserve"> kW.</w:t>
      </w:r>
      <w:r w:rsidRPr="00362F75">
        <w:rPr>
          <w:rFonts w:ascii="Calibri" w:hAnsi="Calibri" w:cs="Calibri"/>
          <w:color w:val="000000"/>
        </w:rPr>
        <w:t xml:space="preserve"> </w:t>
      </w:r>
    </w:p>
    <w:p w14:paraId="25E371D6" w14:textId="2192F07E" w:rsidR="00600242" w:rsidRDefault="00600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D20CBC5" w14:textId="19280FC5" w:rsidR="00600242" w:rsidRDefault="00600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Pro objektivní porovnání spotřeby elektrické energie dodavatel vyplní následující tabulku v souboru </w:t>
      </w:r>
      <w:r w:rsidRPr="000152E8">
        <w:rPr>
          <w:rFonts w:ascii="Calibri" w:hAnsi="Calibri" w:cs="Calibri"/>
          <w:color w:val="000000"/>
          <w:highlight w:val="yellow"/>
        </w:rPr>
        <w:t>Excel – příloha č.</w:t>
      </w:r>
      <w:r w:rsidR="000152E8" w:rsidRPr="000152E8">
        <w:rPr>
          <w:rFonts w:ascii="Calibri" w:hAnsi="Calibri" w:cs="Calibri"/>
          <w:color w:val="000000"/>
          <w:highlight w:val="yellow"/>
        </w:rPr>
        <w:t>12</w:t>
      </w:r>
      <w:r w:rsidRPr="000152E8">
        <w:rPr>
          <w:rFonts w:ascii="Calibri" w:hAnsi="Calibri" w:cs="Calibri"/>
          <w:color w:val="000000"/>
          <w:highlight w:val="yellow"/>
        </w:rPr>
        <w:t xml:space="preserve"> zadávací dokumentace.</w:t>
      </w:r>
    </w:p>
    <w:p w14:paraId="7FC1094B" w14:textId="2B8E7CD5" w:rsidR="0026098E" w:rsidRDefault="0026098E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0668ADB5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ED4E555" w14:textId="4CB1E5EC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 w:rsidRPr="00187416">
        <w:rPr>
          <w:rFonts w:ascii="Calibri" w:hAnsi="Calibri" w:cs="Calibri"/>
          <w:noProof/>
          <w:color w:val="000000"/>
        </w:rPr>
        <w:drawing>
          <wp:inline distT="0" distB="0" distL="0" distR="0" wp14:anchorId="5E72EF7E" wp14:editId="5CA44BD1">
            <wp:extent cx="5760720" cy="2350770"/>
            <wp:effectExtent l="0" t="0" r="0" b="0"/>
            <wp:docPr id="150335920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5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7B127" w14:textId="29E08775" w:rsidR="0026098E" w:rsidRDefault="0026098E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952E3A1" w14:textId="77777777" w:rsidR="00362F75" w:rsidRDefault="00362F75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301F98A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89230B7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2C1F7069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A03C966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C42425E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FAAB8BF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52EF412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3E7494E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0B8D55D9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06BC8FCC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50C5770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6113D851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18E8ED0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1C14762C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FA80314" w14:textId="77777777" w:rsidR="00187416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19C2EC2" w14:textId="77777777" w:rsidR="00187416" w:rsidRPr="00362F75" w:rsidRDefault="00187416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552E517E" w14:textId="21AC5502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  <w:r>
        <w:rPr>
          <w:rFonts w:ascii="Cambria,Bold" w:hAnsi="Cambria,Bold" w:cs="Cambria,Bold"/>
          <w:b/>
          <w:bCs/>
          <w:color w:val="4F83BE"/>
          <w:sz w:val="26"/>
          <w:szCs w:val="26"/>
        </w:rPr>
        <w:lastRenderedPageBreak/>
        <w:t>1</w:t>
      </w:r>
      <w:r w:rsidR="00362F75">
        <w:rPr>
          <w:rFonts w:ascii="Cambria,Bold" w:hAnsi="Cambria,Bold" w:cs="Cambria,Bold"/>
          <w:b/>
          <w:bCs/>
          <w:color w:val="4F83BE"/>
          <w:sz w:val="26"/>
          <w:szCs w:val="26"/>
        </w:rPr>
        <w:t>1</w:t>
      </w:r>
      <w:r>
        <w:rPr>
          <w:rFonts w:ascii="Cambria,Bold" w:hAnsi="Cambria,Bold" w:cs="Cambria,Bold"/>
          <w:b/>
          <w:bCs/>
          <w:color w:val="4F83BE"/>
          <w:sz w:val="26"/>
          <w:szCs w:val="26"/>
        </w:rPr>
        <w:t>. Ostatní:</w:t>
      </w:r>
    </w:p>
    <w:p w14:paraId="6CF92CF5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mbria,Bold" w:hAnsi="Cambria,Bold" w:cs="Cambria,Bold"/>
          <w:b/>
          <w:bCs/>
          <w:color w:val="4F83BE"/>
          <w:sz w:val="26"/>
          <w:szCs w:val="26"/>
        </w:rPr>
      </w:pPr>
    </w:p>
    <w:p w14:paraId="2E3E9935" w14:textId="640E3269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1</w:t>
      </w:r>
      <w:r w:rsidR="00362F75">
        <w:rPr>
          <w:rFonts w:ascii="Calibri" w:hAnsi="Calibri" w:cs="Calibri"/>
          <w:color w:val="000000"/>
        </w:rPr>
        <w:t>1</w:t>
      </w:r>
      <w:r>
        <w:rPr>
          <w:rFonts w:ascii="Calibri" w:hAnsi="Calibri" w:cs="Calibri"/>
          <w:color w:val="000000"/>
        </w:rPr>
        <w:t>.1. Účastník výběrového řízení si před podáním nabídky prověří na své náklady situaci v dané</w:t>
      </w:r>
    </w:p>
    <w:p w14:paraId="328856C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lokalitě (terén, nejbližší přípojné místo apod.) aby mohl podat správně nabídku. Případné nalezené</w:t>
      </w:r>
    </w:p>
    <w:p w14:paraId="3376DA6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nesrovnalosti je nutné řešit se zadavatelem zakázky v době lhůty pro podání nabídek dle podmínek</w:t>
      </w:r>
    </w:p>
    <w:p w14:paraId="71A66D4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zadávací dokumentace.</w:t>
      </w:r>
    </w:p>
    <w:p w14:paraId="18BB02EE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Značení světelných míst je převzato z pasportu veřejného osvětlení poskytnutého investorem.</w:t>
      </w:r>
    </w:p>
    <w:p w14:paraId="596C1889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Účastník bere na vědomí, že nedodržení výše uvedených parametrů bude považováno za nesplnění</w:t>
      </w:r>
    </w:p>
    <w:p w14:paraId="22F622D4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zadávacích podmínek a toto stvrzuje svým podpisem níže. Uvědomuje si, že v případě zkreslení</w:t>
      </w:r>
    </w:p>
    <w:p w14:paraId="57A2D76F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jakýchkoli předaných technických informací může být z výběrového řízení vyloučen bez nároku na</w:t>
      </w:r>
    </w:p>
    <w:p w14:paraId="1D2FB4EA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odvolání, neboť by se jednalo o podvod.</w:t>
      </w:r>
    </w:p>
    <w:p w14:paraId="4A3C2496" w14:textId="77777777" w:rsidR="00771242" w:rsidRDefault="00771242" w:rsidP="007712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69EA372" w14:textId="5D2A43C3" w:rsidR="00543C11" w:rsidRDefault="00754929" w:rsidP="00543C1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Do</w:t>
      </w:r>
      <w:r w:rsidR="00543C11">
        <w:rPr>
          <w:rFonts w:ascii="Calibri" w:hAnsi="Calibri" w:cs="Calibri"/>
        </w:rPr>
        <w:t>davatel bere na vědomí, že nedodržení výše uvedených parametrů bude považováno za nesplnění</w:t>
      </w:r>
    </w:p>
    <w:p w14:paraId="7EF10EA6" w14:textId="77777777" w:rsidR="00543C11" w:rsidRDefault="00543C11" w:rsidP="00543C1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zadávacích podmínek.</w:t>
      </w:r>
    </w:p>
    <w:p w14:paraId="3B74F2DF" w14:textId="77777777" w:rsidR="00543C11" w:rsidRDefault="00543C11" w:rsidP="00543C1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109624ED" w14:textId="77777777" w:rsidR="00543C11" w:rsidRDefault="00543C11" w:rsidP="00543C1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6B13540A" w14:textId="77777777" w:rsidR="00543C11" w:rsidRDefault="00543C11" w:rsidP="00543C1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14:paraId="3BFFDD4E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V ……………………………</w:t>
      </w:r>
    </w:p>
    <w:p w14:paraId="61D9C948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B0BC816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0E07FAA4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proofErr w:type="gramStart"/>
      <w:r>
        <w:rPr>
          <w:rFonts w:ascii="Calibri" w:hAnsi="Calibri" w:cs="Calibri"/>
          <w:color w:val="000000"/>
        </w:rPr>
        <w:t>Dne:…</w:t>
      </w:r>
      <w:proofErr w:type="gramEnd"/>
      <w:r>
        <w:rPr>
          <w:rFonts w:ascii="Calibri" w:hAnsi="Calibri" w:cs="Calibri"/>
          <w:color w:val="000000"/>
        </w:rPr>
        <w:t>…………………</w:t>
      </w:r>
      <w:proofErr w:type="gramStart"/>
      <w:r>
        <w:rPr>
          <w:rFonts w:ascii="Calibri" w:hAnsi="Calibri" w:cs="Calibri"/>
          <w:color w:val="000000"/>
        </w:rPr>
        <w:t>…….</w:t>
      </w:r>
      <w:proofErr w:type="gramEnd"/>
      <w:r>
        <w:rPr>
          <w:rFonts w:ascii="Calibri" w:hAnsi="Calibri" w:cs="Calibri"/>
          <w:color w:val="000000"/>
        </w:rPr>
        <w:t>.</w:t>
      </w:r>
    </w:p>
    <w:p w14:paraId="632728C9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054A499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7A3B6BE7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Za účastníka veřejné zakázky (hůlkovým písmem + podpis):</w:t>
      </w:r>
    </w:p>
    <w:p w14:paraId="54A77387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707F090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46A49B14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color w:val="000000"/>
        </w:rPr>
      </w:pPr>
    </w:p>
    <w:p w14:paraId="33DE3525" w14:textId="77777777" w:rsidR="0080573A" w:rsidRDefault="0080573A" w:rsidP="0080573A">
      <w:pPr>
        <w:autoSpaceDE w:val="0"/>
        <w:autoSpaceDN w:val="0"/>
        <w:adjustRightInd w:val="0"/>
        <w:spacing w:after="0" w:line="240" w:lineRule="auto"/>
        <w:ind w:left="3540" w:firstLine="708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                                         …………………………………</w:t>
      </w:r>
    </w:p>
    <w:p w14:paraId="6EA98EFA" w14:textId="77777777" w:rsidR="0080573A" w:rsidRDefault="0080573A" w:rsidP="0080573A">
      <w:pPr>
        <w:ind w:left="4956" w:firstLine="708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Jméno, příjmení a podpis účastníka</w:t>
      </w:r>
    </w:p>
    <w:p w14:paraId="1FCBF8AA" w14:textId="77777777" w:rsidR="00543C11" w:rsidRDefault="00543C11" w:rsidP="0080573A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sectPr w:rsidR="00543C1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FBAFD" w14:textId="77777777" w:rsidR="00620D8B" w:rsidRDefault="00620D8B" w:rsidP="00AE795C">
      <w:pPr>
        <w:spacing w:after="0" w:line="240" w:lineRule="auto"/>
      </w:pPr>
      <w:r>
        <w:separator/>
      </w:r>
    </w:p>
  </w:endnote>
  <w:endnote w:type="continuationSeparator" w:id="0">
    <w:p w14:paraId="30CCD27E" w14:textId="77777777" w:rsidR="00620D8B" w:rsidRDefault="00620D8B" w:rsidP="00AE7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,Bold">
    <w:altName w:val="Cambri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F564A" w14:textId="77777777" w:rsidR="00530767" w:rsidRDefault="0053076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55FCD" w14:textId="77777777" w:rsidR="00530767" w:rsidRDefault="00530767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73CF3" w14:textId="77777777" w:rsidR="00530767" w:rsidRDefault="0053076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B6E4C" w14:textId="77777777" w:rsidR="00620D8B" w:rsidRDefault="00620D8B" w:rsidP="00AE795C">
      <w:pPr>
        <w:spacing w:after="0" w:line="240" w:lineRule="auto"/>
      </w:pPr>
      <w:r>
        <w:separator/>
      </w:r>
    </w:p>
  </w:footnote>
  <w:footnote w:type="continuationSeparator" w:id="0">
    <w:p w14:paraId="6BB911EB" w14:textId="77777777" w:rsidR="00620D8B" w:rsidRDefault="00620D8B" w:rsidP="00AE7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1AAB0" w14:textId="77777777" w:rsidR="00530767" w:rsidRDefault="0053076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E6B39" w14:textId="3E6B36A1" w:rsidR="00530767" w:rsidRPr="00530767" w:rsidRDefault="00530767">
    <w:pPr>
      <w:pStyle w:val="Zhlav"/>
      <w:rPr>
        <w:rFonts w:ascii="Arial" w:hAnsi="Arial" w:cs="Arial"/>
        <w:sz w:val="20"/>
        <w:szCs w:val="20"/>
        <w:u w:val="single"/>
      </w:rPr>
    </w:pPr>
    <w:r w:rsidRPr="00530767">
      <w:rPr>
        <w:rFonts w:ascii="Arial" w:hAnsi="Arial" w:cs="Arial"/>
        <w:sz w:val="20"/>
        <w:szCs w:val="20"/>
        <w:u w:val="single"/>
      </w:rPr>
      <w:t>Příloha č. 11</w:t>
    </w:r>
  </w:p>
  <w:p w14:paraId="68A6D510" w14:textId="77777777" w:rsidR="00530767" w:rsidRDefault="00530767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1B863" w14:textId="77777777" w:rsidR="00530767" w:rsidRDefault="00530767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C34"/>
    <w:rsid w:val="000152E8"/>
    <w:rsid w:val="00034454"/>
    <w:rsid w:val="00056352"/>
    <w:rsid w:val="00063558"/>
    <w:rsid w:val="00066340"/>
    <w:rsid w:val="000A09A6"/>
    <w:rsid w:val="000C2590"/>
    <w:rsid w:val="000E6F1F"/>
    <w:rsid w:val="000F3704"/>
    <w:rsid w:val="001005CF"/>
    <w:rsid w:val="00147467"/>
    <w:rsid w:val="00161562"/>
    <w:rsid w:val="001830ED"/>
    <w:rsid w:val="00187416"/>
    <w:rsid w:val="00212AB4"/>
    <w:rsid w:val="00216A02"/>
    <w:rsid w:val="0022094B"/>
    <w:rsid w:val="0026098E"/>
    <w:rsid w:val="002805A0"/>
    <w:rsid w:val="00287067"/>
    <w:rsid w:val="00290400"/>
    <w:rsid w:val="002C2E83"/>
    <w:rsid w:val="002C35F6"/>
    <w:rsid w:val="00300E6F"/>
    <w:rsid w:val="00321DD3"/>
    <w:rsid w:val="003338AA"/>
    <w:rsid w:val="00362F75"/>
    <w:rsid w:val="003B10B9"/>
    <w:rsid w:val="00432B00"/>
    <w:rsid w:val="00455ED8"/>
    <w:rsid w:val="004B6EF1"/>
    <w:rsid w:val="004D780B"/>
    <w:rsid w:val="00504C49"/>
    <w:rsid w:val="00530767"/>
    <w:rsid w:val="00535B28"/>
    <w:rsid w:val="00541EE0"/>
    <w:rsid w:val="00543C11"/>
    <w:rsid w:val="00580D7F"/>
    <w:rsid w:val="00585ECC"/>
    <w:rsid w:val="00600242"/>
    <w:rsid w:val="00620D8B"/>
    <w:rsid w:val="00672E72"/>
    <w:rsid w:val="00677B54"/>
    <w:rsid w:val="006926F5"/>
    <w:rsid w:val="00692924"/>
    <w:rsid w:val="006D2940"/>
    <w:rsid w:val="007121AA"/>
    <w:rsid w:val="00754929"/>
    <w:rsid w:val="00767A0D"/>
    <w:rsid w:val="00771242"/>
    <w:rsid w:val="00773093"/>
    <w:rsid w:val="007817C2"/>
    <w:rsid w:val="007865EE"/>
    <w:rsid w:val="007C2AEA"/>
    <w:rsid w:val="0080573A"/>
    <w:rsid w:val="00841EAF"/>
    <w:rsid w:val="00852796"/>
    <w:rsid w:val="008B1BBE"/>
    <w:rsid w:val="0093058D"/>
    <w:rsid w:val="00950165"/>
    <w:rsid w:val="009606EC"/>
    <w:rsid w:val="00976B67"/>
    <w:rsid w:val="009E08E3"/>
    <w:rsid w:val="00A31714"/>
    <w:rsid w:val="00A44367"/>
    <w:rsid w:val="00A63048"/>
    <w:rsid w:val="00A9416C"/>
    <w:rsid w:val="00AA6BC1"/>
    <w:rsid w:val="00AA71B0"/>
    <w:rsid w:val="00AE0A0E"/>
    <w:rsid w:val="00AE67C0"/>
    <w:rsid w:val="00AE7295"/>
    <w:rsid w:val="00AE795C"/>
    <w:rsid w:val="00AF21BC"/>
    <w:rsid w:val="00B145AD"/>
    <w:rsid w:val="00B25C34"/>
    <w:rsid w:val="00B35367"/>
    <w:rsid w:val="00B40111"/>
    <w:rsid w:val="00B437D4"/>
    <w:rsid w:val="00B87ED8"/>
    <w:rsid w:val="00BA6334"/>
    <w:rsid w:val="00BC2263"/>
    <w:rsid w:val="00BE73A8"/>
    <w:rsid w:val="00C50709"/>
    <w:rsid w:val="00C619CC"/>
    <w:rsid w:val="00C81FE4"/>
    <w:rsid w:val="00C939BA"/>
    <w:rsid w:val="00CD2C83"/>
    <w:rsid w:val="00CD47EA"/>
    <w:rsid w:val="00D329BD"/>
    <w:rsid w:val="00D37417"/>
    <w:rsid w:val="00DB3F15"/>
    <w:rsid w:val="00DB5008"/>
    <w:rsid w:val="00DF1B3D"/>
    <w:rsid w:val="00E6225C"/>
    <w:rsid w:val="00E64D54"/>
    <w:rsid w:val="00E93139"/>
    <w:rsid w:val="00EC1D1F"/>
    <w:rsid w:val="00EC239E"/>
    <w:rsid w:val="00F0790B"/>
    <w:rsid w:val="00F260FC"/>
    <w:rsid w:val="00F3626A"/>
    <w:rsid w:val="00F42323"/>
    <w:rsid w:val="00F73FB5"/>
    <w:rsid w:val="00F765B5"/>
    <w:rsid w:val="00FA0F29"/>
    <w:rsid w:val="00FC1F2C"/>
    <w:rsid w:val="00FC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A4871"/>
  <w15:chartTrackingRefBased/>
  <w15:docId w15:val="{1053E49C-C885-4270-B6B2-AE595EF7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530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0767"/>
  </w:style>
  <w:style w:type="paragraph" w:styleId="Zpat">
    <w:name w:val="footer"/>
    <w:basedOn w:val="Normln"/>
    <w:link w:val="ZpatChar"/>
    <w:uiPriority w:val="99"/>
    <w:unhideWhenUsed/>
    <w:rsid w:val="005307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07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733497-8212-4c7e-be53-118042d44d1b" xsi:nil="true"/>
    <lcf76f155ced4ddcb4097134ff3c332f xmlns="70e08aec-1467-40c0-9616-3dbd8f87a60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1A9045DA69C4EBAA732AD81F873BE" ma:contentTypeVersion="16" ma:contentTypeDescription="Create a new document." ma:contentTypeScope="" ma:versionID="3b755657ffe8010133029cb0dbbcd99b">
  <xsd:schema xmlns:xsd="http://www.w3.org/2001/XMLSchema" xmlns:xs="http://www.w3.org/2001/XMLSchema" xmlns:p="http://schemas.microsoft.com/office/2006/metadata/properties" xmlns:ns2="70e08aec-1467-40c0-9616-3dbd8f87a605" xmlns:ns3="ee733497-8212-4c7e-be53-118042d44d1b" targetNamespace="http://schemas.microsoft.com/office/2006/metadata/properties" ma:root="true" ma:fieldsID="5e814f19889e5083f3fd5530751a8f93" ns2:_="" ns3:_="">
    <xsd:import namespace="70e08aec-1467-40c0-9616-3dbd8f87a605"/>
    <xsd:import namespace="ee733497-8212-4c7e-be53-118042d44d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e08aec-1467-40c0-9616-3dbd8f87a6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d2bc115-f314-4df2-a102-4eef0e4978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33497-8212-4c7e-be53-118042d44d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fde2b17-7531-444a-ac76-b53f3b8d6f63}" ma:internalName="TaxCatchAll" ma:showField="CatchAllData" ma:web="ee733497-8212-4c7e-be53-118042d44d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BE827-8178-4EDA-A16D-790B54346D17}">
  <ds:schemaRefs>
    <ds:schemaRef ds:uri="http://schemas.microsoft.com/office/2006/metadata/properties"/>
    <ds:schemaRef ds:uri="http://schemas.microsoft.com/office/infopath/2007/PartnerControls"/>
    <ds:schemaRef ds:uri="ee733497-8212-4c7e-be53-118042d44d1b"/>
    <ds:schemaRef ds:uri="70e08aec-1467-40c0-9616-3dbd8f87a605"/>
  </ds:schemaRefs>
</ds:datastoreItem>
</file>

<file path=customXml/itemProps2.xml><?xml version="1.0" encoding="utf-8"?>
<ds:datastoreItem xmlns:ds="http://schemas.openxmlformats.org/officeDocument/2006/customXml" ds:itemID="{38798949-3113-4BC0-A843-CEDA17F721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0e08aec-1467-40c0-9616-3dbd8f87a605"/>
    <ds:schemaRef ds:uri="ee733497-8212-4c7e-be53-118042d44d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2C91A7-C049-4CC6-99CD-D0CA22DAFA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6</Pages>
  <Words>2317</Words>
  <Characters>13672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Jambura, Martin</dc:creator>
  <cp:keywords/>
  <dc:description/>
  <cp:lastModifiedBy>Jana Zborníková</cp:lastModifiedBy>
  <cp:revision>42</cp:revision>
  <dcterms:created xsi:type="dcterms:W3CDTF">2024-01-09T10:16:00Z</dcterms:created>
  <dcterms:modified xsi:type="dcterms:W3CDTF">2026-06-30T09:05:00Z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0x0101006401A9045DA69C4EBAA732AD81F873BE</vt:lpwstr>
  </property>
</Properties>
</file>